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8F" w:rsidRPr="00456127" w:rsidRDefault="00C65348" w:rsidP="00AC5B01">
      <w:pPr>
        <w:adjustRightInd w:val="0"/>
        <w:snapToGrid w:val="0"/>
        <w:spacing w:line="360" w:lineRule="auto"/>
        <w:jc w:val="center"/>
        <w:rPr>
          <w:b/>
          <w:sz w:val="36"/>
          <w:szCs w:val="36"/>
        </w:rPr>
      </w:pPr>
      <w:bookmarkStart w:id="0" w:name="_GoBack"/>
      <w:bookmarkEnd w:id="0"/>
      <w:r w:rsidRPr="00456127">
        <w:rPr>
          <w:rFonts w:hint="eastAsia"/>
          <w:b/>
          <w:sz w:val="36"/>
          <w:szCs w:val="36"/>
        </w:rPr>
        <w:t>推動</w:t>
      </w:r>
      <w:proofErr w:type="gramStart"/>
      <w:r w:rsidR="00FE24C6" w:rsidRPr="00456127">
        <w:rPr>
          <w:rFonts w:hint="eastAsia"/>
          <w:b/>
          <w:sz w:val="36"/>
          <w:szCs w:val="36"/>
        </w:rPr>
        <w:t>新課綱</w:t>
      </w:r>
      <w:proofErr w:type="gramEnd"/>
      <w:r w:rsidR="00FE24C6" w:rsidRPr="00456127">
        <w:rPr>
          <w:rFonts w:hint="eastAsia"/>
          <w:b/>
          <w:sz w:val="36"/>
          <w:szCs w:val="36"/>
        </w:rPr>
        <w:t>教師增能</w:t>
      </w:r>
      <w:r w:rsidR="00D219DE" w:rsidRPr="00456127">
        <w:rPr>
          <w:rFonts w:hint="eastAsia"/>
          <w:b/>
          <w:sz w:val="36"/>
          <w:szCs w:val="36"/>
        </w:rPr>
        <w:t>之</w:t>
      </w:r>
      <w:r w:rsidR="00E02F6D" w:rsidRPr="00456127">
        <w:rPr>
          <w:rFonts w:hint="eastAsia"/>
          <w:b/>
          <w:sz w:val="36"/>
          <w:szCs w:val="36"/>
        </w:rPr>
        <w:t>成長內涵或課程</w:t>
      </w:r>
      <w:r w:rsidR="00D219DE" w:rsidRPr="00456127">
        <w:rPr>
          <w:rFonts w:hint="eastAsia"/>
          <w:b/>
          <w:sz w:val="36"/>
          <w:szCs w:val="36"/>
        </w:rPr>
        <w:t>參考版</w:t>
      </w:r>
    </w:p>
    <w:p w:rsidR="00C65348" w:rsidRPr="00E80B01" w:rsidRDefault="00E80B01" w:rsidP="00E80B01">
      <w:pPr>
        <w:pStyle w:val="a3"/>
        <w:numPr>
          <w:ilvl w:val="0"/>
          <w:numId w:val="18"/>
        </w:numPr>
        <w:adjustRightInd w:val="0"/>
        <w:snapToGrid w:val="0"/>
        <w:spacing w:line="360" w:lineRule="auto"/>
        <w:ind w:leftChars="0"/>
        <w:rPr>
          <w:sz w:val="28"/>
          <w:szCs w:val="28"/>
        </w:rPr>
      </w:pPr>
      <w:r w:rsidRPr="00E80B01">
        <w:rPr>
          <w:rFonts w:hint="eastAsia"/>
          <w:sz w:val="28"/>
          <w:szCs w:val="28"/>
        </w:rPr>
        <w:t>本年度</w:t>
      </w:r>
      <w:r w:rsidR="00C65348" w:rsidRPr="00E80B01">
        <w:rPr>
          <w:rFonts w:hint="eastAsia"/>
          <w:sz w:val="28"/>
          <w:szCs w:val="28"/>
        </w:rPr>
        <w:t>精進教學計畫配合新課</w:t>
      </w:r>
      <w:r w:rsidRPr="00E80B01">
        <w:rPr>
          <w:rFonts w:hint="eastAsia"/>
          <w:sz w:val="28"/>
          <w:szCs w:val="28"/>
        </w:rPr>
        <w:t>程</w:t>
      </w:r>
      <w:r w:rsidR="00C65348" w:rsidRPr="00E80B01">
        <w:rPr>
          <w:rFonts w:hint="eastAsia"/>
          <w:sz w:val="28"/>
          <w:szCs w:val="28"/>
        </w:rPr>
        <w:t>綱</w:t>
      </w:r>
      <w:r w:rsidRPr="00E80B01">
        <w:rPr>
          <w:rFonts w:hint="eastAsia"/>
          <w:sz w:val="28"/>
          <w:szCs w:val="28"/>
        </w:rPr>
        <w:t>要</w:t>
      </w:r>
      <w:r w:rsidR="00C65348" w:rsidRPr="00E80B01">
        <w:rPr>
          <w:rFonts w:hint="eastAsia"/>
          <w:sz w:val="28"/>
          <w:szCs w:val="28"/>
        </w:rPr>
        <w:t>推動</w:t>
      </w:r>
      <w:r w:rsidRPr="00E80B01">
        <w:rPr>
          <w:rFonts w:asciiTheme="minorEastAsia" w:hAnsiTheme="minorEastAsia" w:hint="eastAsia"/>
          <w:sz w:val="28"/>
          <w:szCs w:val="28"/>
        </w:rPr>
        <w:t>，</w:t>
      </w:r>
      <w:r w:rsidRPr="00E80B01">
        <w:rPr>
          <w:rFonts w:hint="eastAsia"/>
          <w:sz w:val="28"/>
          <w:szCs w:val="28"/>
        </w:rPr>
        <w:t>將新課程綱要的內涵實踐</w:t>
      </w:r>
      <w:r w:rsidR="001F152A" w:rsidRPr="00E80B01">
        <w:rPr>
          <w:rFonts w:hint="eastAsia"/>
          <w:sz w:val="28"/>
          <w:szCs w:val="28"/>
        </w:rPr>
        <w:t>之</w:t>
      </w:r>
      <w:r w:rsidR="001F152A">
        <w:rPr>
          <w:rFonts w:hint="eastAsia"/>
          <w:sz w:val="28"/>
          <w:szCs w:val="28"/>
        </w:rPr>
        <w:t>準備</w:t>
      </w:r>
      <w:r w:rsidRPr="00E80B01">
        <w:rPr>
          <w:rFonts w:hint="eastAsia"/>
          <w:sz w:val="28"/>
          <w:szCs w:val="28"/>
        </w:rPr>
        <w:t>列為</w:t>
      </w:r>
      <w:r w:rsidR="00C65348" w:rsidRPr="00E80B01">
        <w:rPr>
          <w:rFonts w:hint="eastAsia"/>
          <w:sz w:val="28"/>
          <w:szCs w:val="28"/>
        </w:rPr>
        <w:t>重點</w:t>
      </w:r>
      <w:r w:rsidRPr="00E80B01">
        <w:rPr>
          <w:rFonts w:asciiTheme="minorEastAsia" w:hAnsiTheme="minorEastAsia" w:hint="eastAsia"/>
          <w:sz w:val="28"/>
          <w:szCs w:val="28"/>
        </w:rPr>
        <w:t>。</w:t>
      </w:r>
    </w:p>
    <w:p w:rsidR="00C65348" w:rsidRPr="00E80B01" w:rsidRDefault="00C65348" w:rsidP="00E80B01">
      <w:pPr>
        <w:pStyle w:val="a3"/>
        <w:numPr>
          <w:ilvl w:val="0"/>
          <w:numId w:val="24"/>
        </w:numPr>
        <w:adjustRightInd w:val="0"/>
        <w:snapToGrid w:val="0"/>
        <w:spacing w:line="360" w:lineRule="auto"/>
        <w:ind w:leftChars="0"/>
        <w:rPr>
          <w:sz w:val="28"/>
          <w:szCs w:val="28"/>
        </w:rPr>
      </w:pPr>
      <w:r w:rsidRPr="00E80B01">
        <w:rPr>
          <w:rFonts w:hint="eastAsia"/>
          <w:sz w:val="28"/>
          <w:szCs w:val="28"/>
        </w:rPr>
        <w:t>為因應新課</w:t>
      </w:r>
      <w:r w:rsidR="009427EE" w:rsidRPr="00E80B01">
        <w:rPr>
          <w:rFonts w:hint="eastAsia"/>
          <w:sz w:val="28"/>
          <w:szCs w:val="28"/>
        </w:rPr>
        <w:t>程</w:t>
      </w:r>
      <w:r w:rsidRPr="00E80B01">
        <w:rPr>
          <w:rFonts w:hint="eastAsia"/>
          <w:sz w:val="28"/>
          <w:szCs w:val="28"/>
        </w:rPr>
        <w:t>綱</w:t>
      </w:r>
      <w:r w:rsidR="009427EE" w:rsidRPr="00E80B01">
        <w:rPr>
          <w:rFonts w:hint="eastAsia"/>
          <w:sz w:val="28"/>
          <w:szCs w:val="28"/>
        </w:rPr>
        <w:t>要</w:t>
      </w:r>
      <w:r w:rsidRPr="00E80B01">
        <w:rPr>
          <w:rFonts w:hint="eastAsia"/>
          <w:sz w:val="28"/>
          <w:szCs w:val="28"/>
        </w:rPr>
        <w:t>的推動</w:t>
      </w:r>
      <w:r w:rsidR="009427EE" w:rsidRPr="00E80B01">
        <w:rPr>
          <w:rFonts w:hint="eastAsia"/>
          <w:sz w:val="28"/>
          <w:szCs w:val="28"/>
        </w:rPr>
        <w:t>與落實</w:t>
      </w:r>
      <w:r w:rsidR="00E02F6D" w:rsidRPr="00E80B01">
        <w:rPr>
          <w:rFonts w:asciiTheme="minorEastAsia" w:hAnsiTheme="minorEastAsia" w:hint="eastAsia"/>
          <w:sz w:val="28"/>
          <w:szCs w:val="28"/>
        </w:rPr>
        <w:t>，</w:t>
      </w:r>
      <w:r w:rsidRPr="00E80B01">
        <w:rPr>
          <w:rFonts w:hint="eastAsia"/>
          <w:sz w:val="28"/>
          <w:szCs w:val="28"/>
        </w:rPr>
        <w:t>教師的理解與增能是關鍵</w:t>
      </w:r>
      <w:r w:rsidR="001D6C4A">
        <w:rPr>
          <w:rFonts w:asciiTheme="minorEastAsia" w:hAnsiTheme="minorEastAsia" w:hint="eastAsia"/>
          <w:sz w:val="28"/>
          <w:szCs w:val="28"/>
        </w:rPr>
        <w:t>，</w:t>
      </w:r>
      <w:r w:rsidR="001D6C4A">
        <w:rPr>
          <w:rFonts w:hint="eastAsia"/>
          <w:sz w:val="28"/>
          <w:szCs w:val="28"/>
        </w:rPr>
        <w:t>建議縣市能分年整體規劃和實踐</w:t>
      </w:r>
      <w:r w:rsidR="00E80B01">
        <w:rPr>
          <w:rFonts w:asciiTheme="minorEastAsia" w:hAnsiTheme="minorEastAsia" w:hint="eastAsia"/>
          <w:sz w:val="28"/>
          <w:szCs w:val="28"/>
        </w:rPr>
        <w:t>。</w:t>
      </w:r>
    </w:p>
    <w:p w:rsidR="00C65348" w:rsidRPr="00E80B01" w:rsidRDefault="00C65348" w:rsidP="00E80B01">
      <w:pPr>
        <w:pStyle w:val="a3"/>
        <w:numPr>
          <w:ilvl w:val="0"/>
          <w:numId w:val="24"/>
        </w:numPr>
        <w:adjustRightInd w:val="0"/>
        <w:snapToGrid w:val="0"/>
        <w:spacing w:line="360" w:lineRule="auto"/>
        <w:ind w:leftChars="0"/>
        <w:rPr>
          <w:sz w:val="28"/>
          <w:szCs w:val="28"/>
        </w:rPr>
      </w:pPr>
      <w:r w:rsidRPr="00E80B01">
        <w:rPr>
          <w:rFonts w:hint="eastAsia"/>
          <w:sz w:val="28"/>
          <w:szCs w:val="28"/>
        </w:rPr>
        <w:t>增能的型態</w:t>
      </w:r>
      <w:r w:rsidR="00E02F6D" w:rsidRPr="00E80B01">
        <w:rPr>
          <w:rFonts w:hint="eastAsia"/>
          <w:sz w:val="28"/>
          <w:szCs w:val="28"/>
        </w:rPr>
        <w:t>可由縣市選擇</w:t>
      </w:r>
      <w:r w:rsidR="00E02F6D" w:rsidRPr="00E80B01">
        <w:rPr>
          <w:rFonts w:asciiTheme="minorEastAsia" w:hAnsiTheme="minorEastAsia" w:hint="eastAsia"/>
          <w:sz w:val="28"/>
          <w:szCs w:val="28"/>
        </w:rPr>
        <w:t>，</w:t>
      </w:r>
      <w:r w:rsidR="00E02F6D" w:rsidRPr="00E80B01">
        <w:rPr>
          <w:rFonts w:hint="eastAsia"/>
          <w:sz w:val="28"/>
          <w:szCs w:val="28"/>
        </w:rPr>
        <w:t>如</w:t>
      </w:r>
      <w:r w:rsidR="00CD06DF" w:rsidRPr="00E80B01">
        <w:rPr>
          <w:rFonts w:asciiTheme="minorEastAsia" w:hAnsiTheme="minorEastAsia" w:hint="eastAsia"/>
          <w:sz w:val="28"/>
          <w:szCs w:val="28"/>
        </w:rPr>
        <w:t>：</w:t>
      </w:r>
      <w:r w:rsidR="00E02F6D" w:rsidRPr="00E80B01">
        <w:rPr>
          <w:rFonts w:hint="eastAsia"/>
          <w:sz w:val="28"/>
          <w:szCs w:val="28"/>
        </w:rPr>
        <w:t>在規劃的</w:t>
      </w:r>
      <w:r w:rsidR="00E02F6D" w:rsidRPr="00E80B01">
        <w:rPr>
          <w:rFonts w:asciiTheme="minorEastAsia" w:hAnsiTheme="minorEastAsia" w:hint="eastAsia"/>
          <w:sz w:val="28"/>
          <w:szCs w:val="28"/>
        </w:rPr>
        <w:t>「</w:t>
      </w:r>
      <w:r w:rsidR="00E02F6D" w:rsidRPr="00E80B01">
        <w:rPr>
          <w:rFonts w:hint="eastAsia"/>
          <w:sz w:val="28"/>
          <w:szCs w:val="28"/>
        </w:rPr>
        <w:t>專業學習社群</w:t>
      </w:r>
      <w:r w:rsidR="00E02F6D" w:rsidRPr="00E80B01">
        <w:rPr>
          <w:rFonts w:asciiTheme="minorEastAsia" w:hAnsiTheme="minorEastAsia" w:hint="eastAsia"/>
          <w:sz w:val="28"/>
          <w:szCs w:val="28"/>
        </w:rPr>
        <w:t>」</w:t>
      </w:r>
      <w:r w:rsidR="00E02F6D" w:rsidRPr="00E80B01">
        <w:rPr>
          <w:rFonts w:hint="eastAsia"/>
          <w:sz w:val="28"/>
          <w:szCs w:val="28"/>
        </w:rPr>
        <w:t>中討論對話</w:t>
      </w:r>
      <w:r w:rsidR="009427EE" w:rsidRPr="00E80B01">
        <w:rPr>
          <w:rFonts w:asciiTheme="minorEastAsia" w:hAnsiTheme="minorEastAsia" w:hint="eastAsia"/>
          <w:sz w:val="28"/>
          <w:szCs w:val="28"/>
        </w:rPr>
        <w:t>；</w:t>
      </w:r>
      <w:r w:rsidR="00E02F6D" w:rsidRPr="00E80B01">
        <w:rPr>
          <w:rFonts w:asciiTheme="minorEastAsia" w:hAnsiTheme="minorEastAsia" w:hint="eastAsia"/>
          <w:sz w:val="28"/>
          <w:szCs w:val="28"/>
        </w:rPr>
        <w:t>邀請種子講師</w:t>
      </w:r>
      <w:r w:rsidR="009427EE" w:rsidRPr="00E80B01">
        <w:rPr>
          <w:rFonts w:asciiTheme="minorEastAsia" w:hAnsiTheme="minorEastAsia" w:hint="eastAsia"/>
          <w:sz w:val="28"/>
          <w:szCs w:val="28"/>
        </w:rPr>
        <w:t>之專家學者或輔導團</w:t>
      </w:r>
      <w:r w:rsidR="00CD06DF" w:rsidRPr="00E80B01">
        <w:rPr>
          <w:rFonts w:asciiTheme="minorEastAsia" w:hAnsiTheme="minorEastAsia" w:hint="eastAsia"/>
          <w:sz w:val="28"/>
          <w:szCs w:val="28"/>
        </w:rPr>
        <w:t>教師</w:t>
      </w:r>
      <w:r w:rsidR="00E02F6D" w:rsidRPr="00E80B01">
        <w:rPr>
          <w:rFonts w:asciiTheme="minorEastAsia" w:hAnsiTheme="minorEastAsia" w:hint="eastAsia"/>
          <w:sz w:val="28"/>
          <w:szCs w:val="28"/>
        </w:rPr>
        <w:t>進行「專題分享</w:t>
      </w:r>
      <w:r w:rsidR="007C08FD">
        <w:rPr>
          <w:rFonts w:asciiTheme="minorEastAsia" w:hAnsiTheme="minorEastAsia" w:hint="eastAsia"/>
          <w:sz w:val="28"/>
          <w:szCs w:val="28"/>
        </w:rPr>
        <w:t>（演講）</w:t>
      </w:r>
      <w:r w:rsidR="00E02F6D" w:rsidRPr="00E80B01">
        <w:rPr>
          <w:rFonts w:asciiTheme="minorEastAsia" w:hAnsiTheme="minorEastAsia" w:hint="eastAsia"/>
          <w:sz w:val="28"/>
          <w:szCs w:val="28"/>
        </w:rPr>
        <w:t>」</w:t>
      </w:r>
      <w:r w:rsidR="009427EE" w:rsidRPr="00E80B01">
        <w:rPr>
          <w:rFonts w:asciiTheme="minorEastAsia" w:hAnsiTheme="minorEastAsia" w:hint="eastAsia"/>
          <w:sz w:val="28"/>
          <w:szCs w:val="28"/>
        </w:rPr>
        <w:t>、辦理「工作坊」；或由社群領導人及教學研究會召集人引領「案例討論及分析」等</w:t>
      </w:r>
      <w:r w:rsidR="00E80B01">
        <w:rPr>
          <w:rFonts w:asciiTheme="minorEastAsia" w:hAnsiTheme="minorEastAsia" w:hint="eastAsia"/>
          <w:sz w:val="28"/>
          <w:szCs w:val="28"/>
        </w:rPr>
        <w:t>。</w:t>
      </w:r>
    </w:p>
    <w:p w:rsidR="00CD06DF" w:rsidRPr="001E1152" w:rsidRDefault="00E02F6D" w:rsidP="001E1152">
      <w:pPr>
        <w:pStyle w:val="a3"/>
        <w:numPr>
          <w:ilvl w:val="0"/>
          <w:numId w:val="24"/>
        </w:numPr>
        <w:adjustRightInd w:val="0"/>
        <w:snapToGrid w:val="0"/>
        <w:spacing w:line="360" w:lineRule="auto"/>
        <w:ind w:leftChars="0"/>
        <w:rPr>
          <w:rFonts w:asciiTheme="minorEastAsia" w:hAnsiTheme="minorEastAsia"/>
          <w:sz w:val="28"/>
          <w:szCs w:val="28"/>
        </w:rPr>
      </w:pPr>
      <w:proofErr w:type="gramStart"/>
      <w:r w:rsidRPr="00E80B01">
        <w:rPr>
          <w:rFonts w:hint="eastAsia"/>
          <w:sz w:val="28"/>
          <w:szCs w:val="28"/>
        </w:rPr>
        <w:t>106</w:t>
      </w:r>
      <w:proofErr w:type="gramEnd"/>
      <w:r w:rsidRPr="00E80B01">
        <w:rPr>
          <w:rFonts w:hint="eastAsia"/>
          <w:sz w:val="28"/>
          <w:szCs w:val="28"/>
        </w:rPr>
        <w:t>年度上半年</w:t>
      </w:r>
      <w:r w:rsidRPr="00E80B01">
        <w:rPr>
          <w:rFonts w:asciiTheme="minorEastAsia" w:hAnsiTheme="minorEastAsia" w:hint="eastAsia"/>
          <w:sz w:val="28"/>
          <w:szCs w:val="28"/>
        </w:rPr>
        <w:t>（</w:t>
      </w:r>
      <w:r w:rsidR="00CD06DF" w:rsidRPr="00E80B01">
        <w:rPr>
          <w:rFonts w:asciiTheme="minorEastAsia" w:hAnsiTheme="minorEastAsia" w:hint="eastAsia"/>
          <w:sz w:val="28"/>
          <w:szCs w:val="28"/>
        </w:rPr>
        <w:t>7</w:t>
      </w:r>
      <w:r w:rsidRPr="00E80B01">
        <w:rPr>
          <w:rFonts w:asciiTheme="minorEastAsia" w:hAnsiTheme="minorEastAsia" w:hint="eastAsia"/>
          <w:sz w:val="28"/>
          <w:szCs w:val="28"/>
        </w:rPr>
        <w:t>月</w:t>
      </w:r>
      <w:r w:rsidR="009427EE" w:rsidRPr="00E80B01">
        <w:rPr>
          <w:rFonts w:asciiTheme="minorEastAsia" w:hAnsiTheme="minorEastAsia" w:hint="eastAsia"/>
          <w:sz w:val="28"/>
          <w:szCs w:val="28"/>
        </w:rPr>
        <w:t>以前</w:t>
      </w:r>
      <w:r w:rsidRPr="00E80B01">
        <w:rPr>
          <w:rFonts w:asciiTheme="minorEastAsia" w:hAnsiTheme="minorEastAsia" w:hint="eastAsia"/>
          <w:sz w:val="28"/>
          <w:szCs w:val="28"/>
        </w:rPr>
        <w:t>）</w:t>
      </w:r>
      <w:r w:rsidR="00CD06DF" w:rsidRPr="00E80B01">
        <w:rPr>
          <w:rFonts w:asciiTheme="minorEastAsia" w:hAnsiTheme="minorEastAsia" w:hint="eastAsia"/>
          <w:sz w:val="28"/>
          <w:szCs w:val="28"/>
        </w:rPr>
        <w:t>聚焦在</w:t>
      </w:r>
      <w:r w:rsidRPr="00E80B01">
        <w:rPr>
          <w:rFonts w:asciiTheme="minorEastAsia" w:hAnsiTheme="minorEastAsia" w:hint="eastAsia"/>
          <w:sz w:val="28"/>
          <w:szCs w:val="28"/>
        </w:rPr>
        <w:t>社群領導人</w:t>
      </w:r>
      <w:r w:rsidR="009427EE" w:rsidRPr="00E80B01">
        <w:rPr>
          <w:rFonts w:asciiTheme="minorEastAsia" w:hAnsiTheme="minorEastAsia" w:hint="eastAsia"/>
          <w:sz w:val="28"/>
          <w:szCs w:val="28"/>
        </w:rPr>
        <w:t>、</w:t>
      </w:r>
      <w:r w:rsidRPr="00E80B01">
        <w:rPr>
          <w:rFonts w:asciiTheme="minorEastAsia" w:hAnsiTheme="minorEastAsia" w:hint="eastAsia"/>
          <w:sz w:val="28"/>
          <w:szCs w:val="28"/>
        </w:rPr>
        <w:t>教學研究會召</w:t>
      </w:r>
      <w:r w:rsidR="009427EE" w:rsidRPr="00E80B01">
        <w:rPr>
          <w:rFonts w:asciiTheme="minorEastAsia" w:hAnsiTheme="minorEastAsia" w:hint="eastAsia"/>
          <w:sz w:val="28"/>
          <w:szCs w:val="28"/>
        </w:rPr>
        <w:t>集</w:t>
      </w:r>
      <w:r w:rsidRPr="00E80B01">
        <w:rPr>
          <w:rFonts w:asciiTheme="minorEastAsia" w:hAnsiTheme="minorEastAsia" w:hint="eastAsia"/>
          <w:sz w:val="28"/>
          <w:szCs w:val="28"/>
        </w:rPr>
        <w:t>人</w:t>
      </w:r>
      <w:r w:rsidR="009427EE" w:rsidRPr="00E80B01">
        <w:rPr>
          <w:rFonts w:asciiTheme="minorEastAsia" w:hAnsiTheme="minorEastAsia" w:hint="eastAsia"/>
          <w:sz w:val="28"/>
          <w:szCs w:val="28"/>
        </w:rPr>
        <w:t>、輔導團教師</w:t>
      </w:r>
      <w:r w:rsidR="00CD06DF" w:rsidRPr="00E80B01">
        <w:rPr>
          <w:rFonts w:asciiTheme="minorEastAsia" w:hAnsiTheme="minorEastAsia" w:hint="eastAsia"/>
          <w:sz w:val="28"/>
          <w:szCs w:val="28"/>
        </w:rPr>
        <w:t>的專業增能，內容以「</w:t>
      </w:r>
      <w:r w:rsidR="009427EE" w:rsidRPr="00E80B01">
        <w:rPr>
          <w:rFonts w:asciiTheme="minorEastAsia" w:hAnsiTheme="minorEastAsia" w:hint="eastAsia"/>
          <w:sz w:val="28"/>
          <w:szCs w:val="28"/>
        </w:rPr>
        <w:t>新課程綱要總綱的理解</w:t>
      </w:r>
      <w:r w:rsidR="00CD06DF" w:rsidRPr="00E80B01">
        <w:rPr>
          <w:rFonts w:asciiTheme="minorEastAsia" w:hAnsiTheme="minorEastAsia" w:hint="eastAsia"/>
          <w:sz w:val="28"/>
          <w:szCs w:val="28"/>
        </w:rPr>
        <w:t>」</w:t>
      </w:r>
      <w:r w:rsidR="009427EE" w:rsidRPr="00E80B01">
        <w:rPr>
          <w:rFonts w:asciiTheme="minorEastAsia" w:hAnsiTheme="minorEastAsia" w:hint="eastAsia"/>
          <w:sz w:val="28"/>
          <w:szCs w:val="28"/>
        </w:rPr>
        <w:t>及</w:t>
      </w:r>
      <w:r w:rsidR="00CD06DF" w:rsidRPr="00E80B01">
        <w:rPr>
          <w:rFonts w:asciiTheme="minorEastAsia" w:hAnsiTheme="minorEastAsia" w:hint="eastAsia"/>
          <w:sz w:val="28"/>
          <w:szCs w:val="28"/>
        </w:rPr>
        <w:t>「核心素養導向的教學與評量」、「教師公開授課與教學精進」</w:t>
      </w:r>
      <w:r w:rsidR="00E80B01">
        <w:rPr>
          <w:rFonts w:asciiTheme="minorEastAsia" w:hAnsiTheme="minorEastAsia" w:hint="eastAsia"/>
          <w:sz w:val="28"/>
          <w:szCs w:val="28"/>
        </w:rPr>
        <w:t>（備課、觀課、議課）</w:t>
      </w:r>
      <w:r w:rsidR="00CD06DF" w:rsidRPr="00E80B01">
        <w:rPr>
          <w:rFonts w:asciiTheme="minorEastAsia" w:hAnsiTheme="minorEastAsia" w:hint="eastAsia"/>
          <w:sz w:val="28"/>
          <w:szCs w:val="28"/>
        </w:rPr>
        <w:t>、「自主學習的引導策略」</w:t>
      </w:r>
      <w:r w:rsidR="001E1152">
        <w:rPr>
          <w:rFonts w:asciiTheme="minorEastAsia" w:hAnsiTheme="minorEastAsia" w:hint="eastAsia"/>
          <w:sz w:val="28"/>
          <w:szCs w:val="28"/>
        </w:rPr>
        <w:t>、「</w:t>
      </w:r>
      <w:r w:rsidR="001E1152" w:rsidRPr="001E1152">
        <w:rPr>
          <w:rFonts w:asciiTheme="minorEastAsia" w:hAnsiTheme="minorEastAsia" w:hint="eastAsia"/>
          <w:sz w:val="28"/>
          <w:szCs w:val="28"/>
        </w:rPr>
        <w:t>彈性學習課程的規劃與實務」</w:t>
      </w:r>
      <w:r w:rsidR="00CD06DF" w:rsidRPr="001E1152">
        <w:rPr>
          <w:rFonts w:asciiTheme="minorEastAsia" w:hAnsiTheme="minorEastAsia" w:hint="eastAsia"/>
          <w:sz w:val="28"/>
          <w:szCs w:val="28"/>
        </w:rPr>
        <w:t>等為主</w:t>
      </w:r>
      <w:r w:rsidR="00E80B01" w:rsidRPr="001E1152">
        <w:rPr>
          <w:rFonts w:asciiTheme="minorEastAsia" w:hAnsiTheme="minorEastAsia" w:hint="eastAsia"/>
          <w:sz w:val="28"/>
          <w:szCs w:val="28"/>
        </w:rPr>
        <w:t>。</w:t>
      </w:r>
    </w:p>
    <w:p w:rsidR="00E80B01" w:rsidRDefault="009427EE" w:rsidP="00E80B01">
      <w:pPr>
        <w:numPr>
          <w:ilvl w:val="0"/>
          <w:numId w:val="21"/>
        </w:numPr>
        <w:adjustRightInd w:val="0"/>
        <w:snapToGrid w:val="0"/>
        <w:spacing w:line="360" w:lineRule="auto"/>
        <w:rPr>
          <w:rFonts w:asciiTheme="minorEastAsia" w:hAnsiTheme="minorEastAsia"/>
          <w:sz w:val="28"/>
          <w:szCs w:val="28"/>
        </w:rPr>
      </w:pPr>
      <w:proofErr w:type="gramStart"/>
      <w:r>
        <w:rPr>
          <w:rFonts w:asciiTheme="minorEastAsia" w:hAnsiTheme="minorEastAsia" w:hint="eastAsia"/>
          <w:sz w:val="28"/>
          <w:szCs w:val="28"/>
        </w:rPr>
        <w:t>106</w:t>
      </w:r>
      <w:proofErr w:type="gramEnd"/>
      <w:r>
        <w:rPr>
          <w:rFonts w:asciiTheme="minorEastAsia" w:hAnsiTheme="minorEastAsia" w:hint="eastAsia"/>
          <w:sz w:val="28"/>
          <w:szCs w:val="28"/>
        </w:rPr>
        <w:t>年度下半年（</w:t>
      </w:r>
      <w:r w:rsidR="00CD06DF">
        <w:rPr>
          <w:rFonts w:asciiTheme="minorEastAsia" w:hAnsiTheme="minorEastAsia" w:hint="eastAsia"/>
          <w:sz w:val="28"/>
          <w:szCs w:val="28"/>
        </w:rPr>
        <w:t>8</w:t>
      </w:r>
      <w:r>
        <w:rPr>
          <w:rFonts w:asciiTheme="minorEastAsia" w:hAnsiTheme="minorEastAsia" w:hint="eastAsia"/>
          <w:sz w:val="28"/>
          <w:szCs w:val="28"/>
        </w:rPr>
        <w:t>月以後）</w:t>
      </w:r>
      <w:r w:rsidR="00CD06DF">
        <w:rPr>
          <w:rFonts w:asciiTheme="minorEastAsia" w:hAnsiTheme="minorEastAsia" w:hint="eastAsia"/>
          <w:sz w:val="28"/>
          <w:szCs w:val="28"/>
        </w:rPr>
        <w:t>則可規劃新課程綱要</w:t>
      </w:r>
      <w:proofErr w:type="gramStart"/>
      <w:r w:rsidR="00CD06DF">
        <w:rPr>
          <w:rFonts w:asciiTheme="minorEastAsia" w:hAnsiTheme="minorEastAsia" w:hint="eastAsia"/>
          <w:sz w:val="28"/>
          <w:szCs w:val="28"/>
        </w:rPr>
        <w:t>之領綱的</w:t>
      </w:r>
      <w:proofErr w:type="gramEnd"/>
      <w:r w:rsidR="00CD06DF">
        <w:rPr>
          <w:rFonts w:asciiTheme="minorEastAsia" w:hAnsiTheme="minorEastAsia" w:hint="eastAsia"/>
          <w:sz w:val="28"/>
          <w:szCs w:val="28"/>
        </w:rPr>
        <w:t>理解</w:t>
      </w:r>
      <w:r w:rsidR="00E80B01">
        <w:rPr>
          <w:rFonts w:asciiTheme="minorEastAsia" w:hAnsiTheme="minorEastAsia" w:hint="eastAsia"/>
          <w:sz w:val="28"/>
          <w:szCs w:val="28"/>
        </w:rPr>
        <w:t>，以及</w:t>
      </w:r>
      <w:r w:rsidR="00CD06DF">
        <w:rPr>
          <w:rFonts w:asciiTheme="minorEastAsia" w:hAnsiTheme="minorEastAsia" w:hint="eastAsia"/>
          <w:sz w:val="28"/>
          <w:szCs w:val="28"/>
        </w:rPr>
        <w:t>總綱實施要點的具體內涵，如：</w:t>
      </w:r>
      <w:r w:rsidR="00E80B01">
        <w:rPr>
          <w:rFonts w:asciiTheme="minorEastAsia" w:hAnsiTheme="minorEastAsia" w:hint="eastAsia"/>
          <w:sz w:val="28"/>
          <w:szCs w:val="28"/>
        </w:rPr>
        <w:t>「</w:t>
      </w:r>
      <w:r w:rsidR="00CD06DF" w:rsidRPr="00CD06DF">
        <w:rPr>
          <w:rFonts w:asciiTheme="minorEastAsia" w:hAnsiTheme="minorEastAsia" w:hint="eastAsia"/>
          <w:sz w:val="28"/>
          <w:szCs w:val="28"/>
        </w:rPr>
        <w:t>多元取向的教學模式與評量</w:t>
      </w:r>
      <w:r w:rsidR="00E80B01">
        <w:rPr>
          <w:rFonts w:asciiTheme="minorEastAsia" w:hAnsiTheme="minorEastAsia" w:hint="eastAsia"/>
          <w:sz w:val="28"/>
          <w:szCs w:val="28"/>
        </w:rPr>
        <w:t>」、「</w:t>
      </w:r>
      <w:r w:rsidR="00E80B01" w:rsidRPr="00E80B01">
        <w:rPr>
          <w:rFonts w:asciiTheme="minorEastAsia" w:hAnsiTheme="minorEastAsia" w:hint="eastAsia"/>
          <w:sz w:val="28"/>
          <w:szCs w:val="28"/>
        </w:rPr>
        <w:t>學校本位課程規劃與實施</w:t>
      </w:r>
      <w:r w:rsidR="00E80B01">
        <w:rPr>
          <w:rFonts w:asciiTheme="minorEastAsia" w:hAnsiTheme="minorEastAsia" w:hint="eastAsia"/>
          <w:sz w:val="28"/>
          <w:szCs w:val="28"/>
        </w:rPr>
        <w:t>」、「</w:t>
      </w:r>
      <w:r w:rsidR="00E80B01" w:rsidRPr="00E80B01">
        <w:rPr>
          <w:rFonts w:asciiTheme="minorEastAsia" w:hAnsiTheme="minorEastAsia" w:hint="eastAsia"/>
          <w:sz w:val="28"/>
          <w:szCs w:val="28"/>
        </w:rPr>
        <w:t>跨領域課程設計與協同教學</w:t>
      </w:r>
      <w:r w:rsidR="00E80B01">
        <w:rPr>
          <w:rFonts w:asciiTheme="minorEastAsia" w:hAnsiTheme="minorEastAsia" w:hint="eastAsia"/>
          <w:sz w:val="28"/>
          <w:szCs w:val="28"/>
        </w:rPr>
        <w:t>」、「</w:t>
      </w:r>
      <w:r w:rsidR="00E80B01" w:rsidRPr="00E80B01">
        <w:rPr>
          <w:rFonts w:asciiTheme="minorEastAsia" w:hAnsiTheme="minorEastAsia" w:hint="eastAsia"/>
          <w:sz w:val="28"/>
          <w:szCs w:val="28"/>
        </w:rPr>
        <w:t>實地情境學習的規劃與實施</w:t>
      </w:r>
      <w:r w:rsidR="00E80B01">
        <w:rPr>
          <w:rFonts w:asciiTheme="minorEastAsia" w:hAnsiTheme="minorEastAsia" w:hint="eastAsia"/>
          <w:sz w:val="28"/>
          <w:szCs w:val="28"/>
        </w:rPr>
        <w:t>」</w:t>
      </w:r>
      <w:r w:rsidR="00E80B01" w:rsidRPr="00E80B01">
        <w:rPr>
          <w:rFonts w:asciiTheme="minorEastAsia" w:hAnsiTheme="minorEastAsia" w:hint="eastAsia"/>
          <w:sz w:val="28"/>
          <w:szCs w:val="28"/>
        </w:rPr>
        <w:t>、「有效教學的設計與實施」</w:t>
      </w:r>
      <w:r w:rsidR="00CD06DF" w:rsidRPr="00E80B01">
        <w:rPr>
          <w:rFonts w:asciiTheme="minorEastAsia" w:hAnsiTheme="minorEastAsia" w:hint="eastAsia"/>
          <w:sz w:val="28"/>
          <w:szCs w:val="28"/>
        </w:rPr>
        <w:t>等為主</w:t>
      </w:r>
      <w:r w:rsidR="00E80B01" w:rsidRPr="00E80B01">
        <w:rPr>
          <w:rFonts w:asciiTheme="minorEastAsia" w:hAnsiTheme="minorEastAsia" w:hint="eastAsia"/>
          <w:sz w:val="28"/>
          <w:szCs w:val="28"/>
        </w:rPr>
        <w:t>。</w:t>
      </w:r>
    </w:p>
    <w:p w:rsidR="00E80B01" w:rsidRPr="00E80B01" w:rsidRDefault="00E80B01" w:rsidP="00E80B01">
      <w:pPr>
        <w:numPr>
          <w:ilvl w:val="0"/>
          <w:numId w:val="21"/>
        </w:numPr>
        <w:adjustRightInd w:val="0"/>
        <w:snapToGrid w:val="0"/>
        <w:spacing w:line="360" w:lineRule="auto"/>
        <w:rPr>
          <w:rFonts w:asciiTheme="minorEastAsia" w:hAnsiTheme="minorEastAsia"/>
          <w:sz w:val="28"/>
          <w:szCs w:val="28"/>
        </w:rPr>
      </w:pPr>
      <w:r>
        <w:rPr>
          <w:rFonts w:asciiTheme="minorEastAsia" w:hAnsiTheme="minorEastAsia" w:hint="eastAsia"/>
          <w:sz w:val="28"/>
          <w:szCs w:val="28"/>
        </w:rPr>
        <w:t>針對</w:t>
      </w:r>
      <w:r w:rsidR="009427EE" w:rsidRPr="00456127">
        <w:rPr>
          <w:rFonts w:asciiTheme="minorEastAsia" w:hAnsiTheme="minorEastAsia" w:hint="eastAsia"/>
          <w:sz w:val="28"/>
          <w:szCs w:val="28"/>
        </w:rPr>
        <w:t>社群領導人</w:t>
      </w:r>
      <w:r w:rsidR="00456127">
        <w:rPr>
          <w:rFonts w:asciiTheme="minorEastAsia" w:hAnsiTheme="minorEastAsia" w:hint="eastAsia"/>
          <w:sz w:val="28"/>
          <w:szCs w:val="28"/>
        </w:rPr>
        <w:t>、</w:t>
      </w:r>
      <w:r w:rsidR="009427EE" w:rsidRPr="00456127">
        <w:rPr>
          <w:rFonts w:asciiTheme="minorEastAsia" w:hAnsiTheme="minorEastAsia" w:hint="eastAsia"/>
          <w:sz w:val="28"/>
          <w:szCs w:val="28"/>
        </w:rPr>
        <w:t>教學研究會召集</w:t>
      </w:r>
      <w:r w:rsidR="00456127" w:rsidRPr="00456127">
        <w:rPr>
          <w:rFonts w:asciiTheme="minorEastAsia" w:hAnsiTheme="minorEastAsia" w:hint="eastAsia"/>
          <w:sz w:val="28"/>
          <w:szCs w:val="28"/>
        </w:rPr>
        <w:t>及</w:t>
      </w:r>
      <w:r w:rsidR="00456127">
        <w:rPr>
          <w:rFonts w:asciiTheme="minorEastAsia" w:hAnsiTheme="minorEastAsia" w:hint="eastAsia"/>
          <w:sz w:val="28"/>
          <w:szCs w:val="28"/>
        </w:rPr>
        <w:t>輔導團教師等教學領導者，建議增加規劃「引領」、「帶領」、「引導」、「協作」等策略的專業增能課程，以發揮其專業影響力。</w:t>
      </w:r>
    </w:p>
    <w:p w:rsidR="00456127" w:rsidRPr="001D6C4A" w:rsidRDefault="00456127" w:rsidP="00456127">
      <w:pPr>
        <w:pStyle w:val="a3"/>
        <w:numPr>
          <w:ilvl w:val="0"/>
          <w:numId w:val="21"/>
        </w:numPr>
        <w:adjustRightInd w:val="0"/>
        <w:snapToGrid w:val="0"/>
        <w:spacing w:line="360" w:lineRule="auto"/>
        <w:ind w:leftChars="0"/>
        <w:rPr>
          <w:sz w:val="28"/>
          <w:szCs w:val="28"/>
        </w:rPr>
      </w:pPr>
      <w:r w:rsidRPr="00456127">
        <w:rPr>
          <w:rFonts w:asciiTheme="minorEastAsia" w:hAnsiTheme="minorEastAsia" w:hint="eastAsia"/>
          <w:sz w:val="28"/>
          <w:szCs w:val="28"/>
        </w:rPr>
        <w:t>針對專業增能的資源，</w:t>
      </w:r>
      <w:r>
        <w:rPr>
          <w:rFonts w:asciiTheme="minorEastAsia" w:hAnsiTheme="minorEastAsia" w:hint="eastAsia"/>
          <w:sz w:val="28"/>
          <w:szCs w:val="28"/>
        </w:rPr>
        <w:t>如：</w:t>
      </w:r>
      <w:r w:rsidR="00AC5B01">
        <w:rPr>
          <w:rFonts w:asciiTheme="minorEastAsia" w:hAnsiTheme="minorEastAsia" w:hint="eastAsia"/>
          <w:sz w:val="28"/>
          <w:szCs w:val="28"/>
        </w:rPr>
        <w:t>場次經費、</w:t>
      </w:r>
      <w:r w:rsidRPr="00456127">
        <w:rPr>
          <w:rFonts w:asciiTheme="minorEastAsia" w:hAnsiTheme="minorEastAsia" w:hint="eastAsia"/>
          <w:sz w:val="28"/>
          <w:szCs w:val="28"/>
        </w:rPr>
        <w:t>專業人力</w:t>
      </w:r>
      <w:r>
        <w:rPr>
          <w:rFonts w:asciiTheme="minorEastAsia" w:hAnsiTheme="minorEastAsia" w:hint="eastAsia"/>
          <w:sz w:val="28"/>
          <w:szCs w:val="28"/>
        </w:rPr>
        <w:t>、媒材文件及內涵重點將會再進一步的整理提供縣市正式實施時參考運用。</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4306"/>
        <w:gridCol w:w="4307"/>
        <w:gridCol w:w="4310"/>
      </w:tblGrid>
      <w:tr w:rsidR="002C0AA8" w:rsidTr="00D17E36">
        <w:trPr>
          <w:trHeight w:val="702"/>
          <w:jc w:val="center"/>
        </w:trPr>
        <w:tc>
          <w:tcPr>
            <w:tcW w:w="685" w:type="dxa"/>
          </w:tcPr>
          <w:p w:rsidR="00D17E36" w:rsidRDefault="00D17E36" w:rsidP="00D17E36">
            <w:pPr>
              <w:adjustRightInd w:val="0"/>
              <w:snapToGrid w:val="0"/>
              <w:spacing w:line="360" w:lineRule="auto"/>
              <w:ind w:left="91"/>
              <w:rPr>
                <w:szCs w:val="24"/>
              </w:rPr>
            </w:pPr>
            <w:r w:rsidRPr="00D17E36">
              <w:rPr>
                <w:rFonts w:hint="eastAsia"/>
                <w:szCs w:val="24"/>
              </w:rPr>
              <w:lastRenderedPageBreak/>
              <w:t>型</w:t>
            </w:r>
          </w:p>
          <w:p w:rsidR="002C0AA8" w:rsidRPr="00D17E36" w:rsidRDefault="00D17E36" w:rsidP="00D17E36">
            <w:pPr>
              <w:adjustRightInd w:val="0"/>
              <w:snapToGrid w:val="0"/>
              <w:spacing w:line="360" w:lineRule="auto"/>
              <w:ind w:left="91"/>
              <w:rPr>
                <w:szCs w:val="24"/>
              </w:rPr>
            </w:pPr>
            <w:r w:rsidRPr="00D17E36">
              <w:rPr>
                <w:rFonts w:hint="eastAsia"/>
                <w:szCs w:val="24"/>
              </w:rPr>
              <w:t>態</w:t>
            </w:r>
          </w:p>
        </w:tc>
        <w:tc>
          <w:tcPr>
            <w:tcW w:w="4306" w:type="dxa"/>
          </w:tcPr>
          <w:p w:rsidR="002C0AA8" w:rsidRDefault="002C0AA8" w:rsidP="00D17E36">
            <w:pPr>
              <w:adjustRightInd w:val="0"/>
              <w:snapToGrid w:val="0"/>
              <w:ind w:left="91"/>
              <w:rPr>
                <w:rFonts w:asciiTheme="minorEastAsia" w:hAnsiTheme="minorEastAsia"/>
                <w:szCs w:val="24"/>
              </w:rPr>
            </w:pPr>
            <w:r w:rsidRPr="004160FF">
              <w:rPr>
                <w:rFonts w:hint="eastAsia"/>
                <w:szCs w:val="24"/>
                <w:u w:val="single"/>
              </w:rPr>
              <w:t>專業社群對話與</w:t>
            </w:r>
            <w:r>
              <w:rPr>
                <w:rFonts w:hint="eastAsia"/>
                <w:szCs w:val="24"/>
                <w:u w:val="single"/>
              </w:rPr>
              <w:t>討論</w:t>
            </w:r>
          </w:p>
          <w:p w:rsidR="00E02F6D" w:rsidRDefault="00E02F6D" w:rsidP="00D17E36">
            <w:pPr>
              <w:adjustRightInd w:val="0"/>
              <w:snapToGrid w:val="0"/>
              <w:ind w:left="91"/>
              <w:rPr>
                <w:szCs w:val="24"/>
                <w:u w:val="single"/>
              </w:rPr>
            </w:pPr>
            <w:r>
              <w:rPr>
                <w:rFonts w:hint="eastAsia"/>
                <w:szCs w:val="24"/>
                <w:u w:val="single"/>
              </w:rPr>
              <w:t>專題分享</w:t>
            </w:r>
            <w:r w:rsidR="00D17E36">
              <w:rPr>
                <w:rFonts w:asciiTheme="minorEastAsia" w:hAnsiTheme="minorEastAsia" w:hint="eastAsia"/>
                <w:szCs w:val="24"/>
                <w:u w:val="single"/>
              </w:rPr>
              <w:t>（演講</w:t>
            </w:r>
            <w:r w:rsidR="00D17E36">
              <w:rPr>
                <w:rFonts w:ascii="新細明體" w:eastAsia="新細明體" w:hAnsi="新細明體" w:hint="eastAsia"/>
                <w:szCs w:val="24"/>
                <w:u w:val="single"/>
              </w:rPr>
              <w:t>）</w:t>
            </w:r>
          </w:p>
        </w:tc>
        <w:tc>
          <w:tcPr>
            <w:tcW w:w="4307" w:type="dxa"/>
          </w:tcPr>
          <w:p w:rsidR="002C0AA8" w:rsidRDefault="002C0AA8" w:rsidP="00D17E36">
            <w:pPr>
              <w:spacing w:line="360" w:lineRule="auto"/>
              <w:rPr>
                <w:szCs w:val="24"/>
                <w:u w:val="single"/>
              </w:rPr>
            </w:pPr>
            <w:r w:rsidRPr="002C0AA8">
              <w:rPr>
                <w:rFonts w:hint="eastAsia"/>
                <w:szCs w:val="24"/>
                <w:u w:val="single"/>
              </w:rPr>
              <w:t>案例討論與分析</w:t>
            </w:r>
          </w:p>
        </w:tc>
        <w:tc>
          <w:tcPr>
            <w:tcW w:w="4310" w:type="dxa"/>
          </w:tcPr>
          <w:p w:rsidR="002C0AA8" w:rsidRDefault="002C0AA8" w:rsidP="00D17E36">
            <w:pPr>
              <w:spacing w:line="360" w:lineRule="auto"/>
              <w:rPr>
                <w:szCs w:val="24"/>
                <w:u w:val="single"/>
              </w:rPr>
            </w:pPr>
            <w:r w:rsidRPr="002C0AA8">
              <w:rPr>
                <w:rFonts w:hint="eastAsia"/>
                <w:szCs w:val="24"/>
                <w:u w:val="single"/>
              </w:rPr>
              <w:t>工作坊</w:t>
            </w:r>
          </w:p>
        </w:tc>
      </w:tr>
      <w:tr w:rsidR="002B2A00" w:rsidTr="00C65348">
        <w:trPr>
          <w:trHeight w:val="2408"/>
          <w:jc w:val="center"/>
        </w:trPr>
        <w:tc>
          <w:tcPr>
            <w:tcW w:w="685" w:type="dxa"/>
          </w:tcPr>
          <w:p w:rsidR="002B2A00" w:rsidRPr="00762C6C" w:rsidRDefault="008B2447" w:rsidP="008829CA">
            <w:pPr>
              <w:ind w:left="91"/>
              <w:rPr>
                <w:sz w:val="20"/>
                <w:szCs w:val="20"/>
                <w:u w:val="single"/>
              </w:rPr>
            </w:pPr>
            <w:r>
              <w:rPr>
                <w:rFonts w:asciiTheme="minorEastAsia" w:hAnsiTheme="minorEastAsia" w:hint="eastAsia"/>
                <w:sz w:val="20"/>
                <w:szCs w:val="20"/>
              </w:rPr>
              <w:t>社群領導人及教學研究會召集人</w:t>
            </w:r>
          </w:p>
        </w:tc>
        <w:tc>
          <w:tcPr>
            <w:tcW w:w="4306" w:type="dxa"/>
          </w:tcPr>
          <w:p w:rsidR="002B2A00" w:rsidRPr="009C27FD" w:rsidRDefault="002B2A00" w:rsidP="002B2A00">
            <w:pPr>
              <w:pStyle w:val="a3"/>
              <w:numPr>
                <w:ilvl w:val="0"/>
                <w:numId w:val="18"/>
              </w:numPr>
              <w:ind w:leftChars="0"/>
              <w:rPr>
                <w:szCs w:val="24"/>
                <w:u w:val="single"/>
              </w:rPr>
            </w:pPr>
            <w:r w:rsidRPr="009C27FD">
              <w:rPr>
                <w:rFonts w:hint="eastAsia"/>
                <w:szCs w:val="24"/>
              </w:rPr>
              <w:t>十二年國教課程綱要總綱的理解</w:t>
            </w:r>
          </w:p>
          <w:p w:rsidR="002B2A00" w:rsidRPr="009C27FD" w:rsidRDefault="002B2A00" w:rsidP="002B2A00">
            <w:pPr>
              <w:pStyle w:val="a3"/>
              <w:numPr>
                <w:ilvl w:val="0"/>
                <w:numId w:val="18"/>
              </w:numPr>
              <w:ind w:leftChars="0"/>
              <w:rPr>
                <w:szCs w:val="24"/>
              </w:rPr>
            </w:pPr>
            <w:r w:rsidRPr="009C27FD">
              <w:rPr>
                <w:rFonts w:hint="eastAsia"/>
                <w:szCs w:val="24"/>
              </w:rPr>
              <w:t>十二年國教課程</w:t>
            </w:r>
            <w:proofErr w:type="gramStart"/>
            <w:r w:rsidRPr="009C27FD">
              <w:rPr>
                <w:rFonts w:hint="eastAsia"/>
                <w:szCs w:val="24"/>
              </w:rPr>
              <w:t>綱要領綱的</w:t>
            </w:r>
            <w:proofErr w:type="gramEnd"/>
            <w:r w:rsidRPr="009C27FD">
              <w:rPr>
                <w:rFonts w:hint="eastAsia"/>
                <w:szCs w:val="24"/>
              </w:rPr>
              <w:t>理解</w:t>
            </w:r>
          </w:p>
          <w:p w:rsidR="008B2447" w:rsidRDefault="002B2A00" w:rsidP="008B2447">
            <w:pPr>
              <w:pStyle w:val="a3"/>
              <w:numPr>
                <w:ilvl w:val="0"/>
                <w:numId w:val="18"/>
              </w:numPr>
              <w:ind w:leftChars="0"/>
              <w:rPr>
                <w:szCs w:val="24"/>
                <w:u w:val="single"/>
              </w:rPr>
            </w:pPr>
            <w:r w:rsidRPr="009C27FD">
              <w:rPr>
                <w:rFonts w:hint="eastAsia"/>
                <w:szCs w:val="24"/>
                <w:u w:val="single"/>
              </w:rPr>
              <w:t>認識新課程綱要的資源（文件、影片及開放式課程）運用</w:t>
            </w:r>
          </w:p>
          <w:p w:rsidR="002B2A00" w:rsidRPr="008B2447" w:rsidRDefault="002B2A00" w:rsidP="008B2447">
            <w:pPr>
              <w:pStyle w:val="a3"/>
              <w:numPr>
                <w:ilvl w:val="0"/>
                <w:numId w:val="18"/>
              </w:numPr>
              <w:ind w:leftChars="0"/>
              <w:rPr>
                <w:szCs w:val="24"/>
                <w:u w:val="single"/>
              </w:rPr>
            </w:pPr>
            <w:r w:rsidRPr="008B2447">
              <w:rPr>
                <w:rFonts w:hint="eastAsia"/>
                <w:szCs w:val="24"/>
                <w:u w:val="single"/>
              </w:rPr>
              <w:t>帶領討論對話的技巧</w:t>
            </w:r>
          </w:p>
          <w:p w:rsidR="008B2447" w:rsidRDefault="008B2447" w:rsidP="008B2447">
            <w:pPr>
              <w:rPr>
                <w:szCs w:val="24"/>
                <w:u w:val="single"/>
              </w:rPr>
            </w:pPr>
          </w:p>
          <w:p w:rsidR="008B2447" w:rsidRPr="008B2447" w:rsidRDefault="008B2447" w:rsidP="008B2447">
            <w:pPr>
              <w:rPr>
                <w:szCs w:val="24"/>
                <w:u w:val="single"/>
              </w:rPr>
            </w:pPr>
          </w:p>
        </w:tc>
        <w:tc>
          <w:tcPr>
            <w:tcW w:w="4307" w:type="dxa"/>
          </w:tcPr>
          <w:p w:rsidR="002B2A00" w:rsidRPr="009C27FD" w:rsidRDefault="002B2A00" w:rsidP="002B2A00">
            <w:pPr>
              <w:pStyle w:val="a3"/>
              <w:numPr>
                <w:ilvl w:val="0"/>
                <w:numId w:val="21"/>
              </w:numPr>
              <w:ind w:leftChars="0"/>
              <w:rPr>
                <w:szCs w:val="24"/>
              </w:rPr>
            </w:pPr>
            <w:r w:rsidRPr="009C27FD">
              <w:rPr>
                <w:rFonts w:hint="eastAsia"/>
                <w:szCs w:val="24"/>
              </w:rPr>
              <w:t>多元取向的教學模式與評量</w:t>
            </w:r>
          </w:p>
          <w:p w:rsidR="002B2A00" w:rsidRPr="009C27FD" w:rsidRDefault="002B2A00" w:rsidP="002B2A00">
            <w:pPr>
              <w:pStyle w:val="a3"/>
              <w:numPr>
                <w:ilvl w:val="0"/>
                <w:numId w:val="21"/>
              </w:numPr>
              <w:ind w:leftChars="0"/>
              <w:rPr>
                <w:szCs w:val="24"/>
              </w:rPr>
            </w:pPr>
            <w:r w:rsidRPr="009C27FD">
              <w:rPr>
                <w:rFonts w:hint="eastAsia"/>
                <w:szCs w:val="24"/>
              </w:rPr>
              <w:t>教師公開授課與教學精進</w:t>
            </w:r>
          </w:p>
          <w:p w:rsidR="002B2A00" w:rsidRDefault="002B2A00" w:rsidP="002B2A00">
            <w:pPr>
              <w:pStyle w:val="a3"/>
              <w:numPr>
                <w:ilvl w:val="0"/>
                <w:numId w:val="21"/>
              </w:numPr>
              <w:ind w:leftChars="0"/>
              <w:rPr>
                <w:szCs w:val="24"/>
              </w:rPr>
            </w:pPr>
            <w:r w:rsidRPr="009C27FD">
              <w:rPr>
                <w:rFonts w:hint="eastAsia"/>
                <w:szCs w:val="24"/>
              </w:rPr>
              <w:t>自主學習的引導策略</w:t>
            </w:r>
          </w:p>
          <w:p w:rsidR="004662AB" w:rsidRPr="004662AB" w:rsidRDefault="004662AB" w:rsidP="004662AB">
            <w:pPr>
              <w:pStyle w:val="a3"/>
              <w:numPr>
                <w:ilvl w:val="0"/>
                <w:numId w:val="22"/>
              </w:numPr>
              <w:ind w:leftChars="0"/>
              <w:rPr>
                <w:szCs w:val="24"/>
              </w:rPr>
            </w:pPr>
            <w:r>
              <w:rPr>
                <w:rFonts w:hint="eastAsia"/>
                <w:szCs w:val="24"/>
              </w:rPr>
              <w:t>彈性學習課程的規劃與實務</w:t>
            </w:r>
          </w:p>
          <w:p w:rsidR="002B2A00" w:rsidRPr="009C27FD" w:rsidRDefault="002B2A00" w:rsidP="002B2A00">
            <w:pPr>
              <w:pStyle w:val="a3"/>
              <w:numPr>
                <w:ilvl w:val="0"/>
                <w:numId w:val="21"/>
              </w:numPr>
              <w:ind w:leftChars="0"/>
              <w:rPr>
                <w:szCs w:val="24"/>
                <w:u w:val="single"/>
              </w:rPr>
            </w:pPr>
            <w:proofErr w:type="gramStart"/>
            <w:r w:rsidRPr="009C27FD">
              <w:rPr>
                <w:rFonts w:hint="eastAsia"/>
                <w:szCs w:val="24"/>
                <w:u w:val="single"/>
              </w:rPr>
              <w:t>帶領議課的</w:t>
            </w:r>
            <w:proofErr w:type="gramEnd"/>
            <w:r w:rsidRPr="009C27FD">
              <w:rPr>
                <w:rFonts w:hint="eastAsia"/>
                <w:szCs w:val="24"/>
                <w:u w:val="single"/>
              </w:rPr>
              <w:t>實踐策略</w:t>
            </w:r>
          </w:p>
          <w:p w:rsidR="002B2A00" w:rsidRDefault="002B2A00" w:rsidP="002B2A00">
            <w:pPr>
              <w:rPr>
                <w:szCs w:val="24"/>
                <w:u w:val="single"/>
              </w:rPr>
            </w:pPr>
          </w:p>
        </w:tc>
        <w:tc>
          <w:tcPr>
            <w:tcW w:w="4310" w:type="dxa"/>
          </w:tcPr>
          <w:p w:rsidR="002B2A00" w:rsidRPr="009C27FD" w:rsidRDefault="002B2A00" w:rsidP="002B2A00">
            <w:pPr>
              <w:pStyle w:val="a3"/>
              <w:numPr>
                <w:ilvl w:val="0"/>
                <w:numId w:val="21"/>
              </w:numPr>
              <w:ind w:leftChars="0"/>
              <w:rPr>
                <w:szCs w:val="24"/>
              </w:rPr>
            </w:pPr>
            <w:r w:rsidRPr="009C27FD">
              <w:rPr>
                <w:rFonts w:hint="eastAsia"/>
                <w:szCs w:val="24"/>
              </w:rPr>
              <w:t>核心素養導向的教學與評量</w:t>
            </w:r>
          </w:p>
          <w:p w:rsidR="002B2A00" w:rsidRPr="009C27FD" w:rsidRDefault="002B2A00" w:rsidP="002B2A00">
            <w:pPr>
              <w:pStyle w:val="a3"/>
              <w:numPr>
                <w:ilvl w:val="0"/>
                <w:numId w:val="21"/>
              </w:numPr>
              <w:ind w:leftChars="0"/>
              <w:rPr>
                <w:szCs w:val="24"/>
              </w:rPr>
            </w:pPr>
            <w:r w:rsidRPr="009C27FD">
              <w:rPr>
                <w:rFonts w:hint="eastAsia"/>
                <w:szCs w:val="24"/>
              </w:rPr>
              <w:t>學校本位課程規劃與實施</w:t>
            </w:r>
          </w:p>
          <w:p w:rsidR="002B2A00" w:rsidRPr="009C27FD" w:rsidRDefault="002B2A00" w:rsidP="002B2A00">
            <w:pPr>
              <w:pStyle w:val="a3"/>
              <w:numPr>
                <w:ilvl w:val="0"/>
                <w:numId w:val="21"/>
              </w:numPr>
              <w:ind w:leftChars="0"/>
              <w:rPr>
                <w:szCs w:val="24"/>
              </w:rPr>
            </w:pPr>
            <w:r w:rsidRPr="009C27FD">
              <w:rPr>
                <w:rFonts w:hint="eastAsia"/>
                <w:szCs w:val="24"/>
              </w:rPr>
              <w:t>跨領域課程設計與協同教學</w:t>
            </w:r>
          </w:p>
          <w:p w:rsidR="002B2A00" w:rsidRPr="009C27FD" w:rsidRDefault="002B2A00" w:rsidP="002B2A00">
            <w:pPr>
              <w:pStyle w:val="a3"/>
              <w:numPr>
                <w:ilvl w:val="0"/>
                <w:numId w:val="21"/>
              </w:numPr>
              <w:ind w:leftChars="0"/>
              <w:rPr>
                <w:szCs w:val="24"/>
              </w:rPr>
            </w:pPr>
            <w:r w:rsidRPr="009C27FD">
              <w:rPr>
                <w:rFonts w:hint="eastAsia"/>
                <w:szCs w:val="24"/>
              </w:rPr>
              <w:t>實地情境學習的規劃與實施</w:t>
            </w:r>
          </w:p>
          <w:p w:rsidR="002B2A00" w:rsidRPr="009C27FD" w:rsidRDefault="002B2A00" w:rsidP="002B2A00">
            <w:pPr>
              <w:pStyle w:val="a3"/>
              <w:numPr>
                <w:ilvl w:val="0"/>
                <w:numId w:val="21"/>
              </w:numPr>
              <w:ind w:leftChars="0"/>
              <w:rPr>
                <w:szCs w:val="24"/>
              </w:rPr>
            </w:pPr>
            <w:r w:rsidRPr="009C27FD">
              <w:rPr>
                <w:rFonts w:hint="eastAsia"/>
                <w:szCs w:val="24"/>
              </w:rPr>
              <w:t>有效教學的設計與實施</w:t>
            </w:r>
          </w:p>
          <w:p w:rsidR="002B2A00" w:rsidRPr="009C27FD" w:rsidRDefault="002B2A00" w:rsidP="002B2A00">
            <w:pPr>
              <w:pStyle w:val="a3"/>
              <w:numPr>
                <w:ilvl w:val="0"/>
                <w:numId w:val="21"/>
              </w:numPr>
              <w:ind w:leftChars="0"/>
              <w:rPr>
                <w:szCs w:val="24"/>
                <w:u w:val="single"/>
              </w:rPr>
            </w:pPr>
            <w:r w:rsidRPr="009C27FD">
              <w:rPr>
                <w:rFonts w:hint="eastAsia"/>
                <w:szCs w:val="24"/>
                <w:u w:val="single"/>
              </w:rPr>
              <w:t>引領課程</w:t>
            </w:r>
            <w:r w:rsidRPr="009C27FD">
              <w:rPr>
                <w:rFonts w:asciiTheme="minorEastAsia" w:hAnsiTheme="minorEastAsia" w:hint="eastAsia"/>
                <w:szCs w:val="24"/>
                <w:u w:val="single"/>
              </w:rPr>
              <w:t>、</w:t>
            </w:r>
            <w:r w:rsidRPr="009C27FD">
              <w:rPr>
                <w:rFonts w:hint="eastAsia"/>
                <w:szCs w:val="24"/>
                <w:u w:val="single"/>
              </w:rPr>
              <w:t>教學</w:t>
            </w:r>
            <w:r w:rsidRPr="009C27FD">
              <w:rPr>
                <w:rFonts w:asciiTheme="minorEastAsia" w:hAnsiTheme="minorEastAsia" w:hint="eastAsia"/>
                <w:szCs w:val="24"/>
                <w:u w:val="single"/>
              </w:rPr>
              <w:t>、</w:t>
            </w:r>
            <w:r w:rsidRPr="009C27FD">
              <w:rPr>
                <w:rFonts w:hint="eastAsia"/>
                <w:szCs w:val="24"/>
                <w:u w:val="single"/>
              </w:rPr>
              <w:t>評量方案之規劃與實踐策略</w:t>
            </w:r>
          </w:p>
        </w:tc>
      </w:tr>
      <w:tr w:rsidR="007308E3" w:rsidTr="00CC5537">
        <w:trPr>
          <w:trHeight w:val="645"/>
          <w:jc w:val="center"/>
        </w:trPr>
        <w:tc>
          <w:tcPr>
            <w:tcW w:w="685" w:type="dxa"/>
            <w:vMerge w:val="restart"/>
          </w:tcPr>
          <w:p w:rsidR="00456127" w:rsidRPr="00D17E36" w:rsidRDefault="00456127" w:rsidP="008829CA">
            <w:pPr>
              <w:ind w:left="91"/>
              <w:rPr>
                <w:szCs w:val="24"/>
              </w:rPr>
            </w:pPr>
          </w:p>
          <w:p w:rsidR="007308E3" w:rsidRPr="00D17E36" w:rsidRDefault="007308E3" w:rsidP="008829CA">
            <w:pPr>
              <w:ind w:left="91"/>
              <w:rPr>
                <w:szCs w:val="24"/>
              </w:rPr>
            </w:pPr>
            <w:r w:rsidRPr="00D17E36">
              <w:rPr>
                <w:rFonts w:hint="eastAsia"/>
                <w:szCs w:val="24"/>
              </w:rPr>
              <w:t>教</w:t>
            </w:r>
          </w:p>
          <w:p w:rsidR="007308E3" w:rsidRPr="00D17E36" w:rsidRDefault="007308E3" w:rsidP="008829CA">
            <w:pPr>
              <w:ind w:left="91"/>
              <w:rPr>
                <w:szCs w:val="24"/>
              </w:rPr>
            </w:pPr>
            <w:r w:rsidRPr="00D17E36">
              <w:rPr>
                <w:rFonts w:hint="eastAsia"/>
                <w:szCs w:val="24"/>
              </w:rPr>
              <w:t>師</w:t>
            </w:r>
          </w:p>
          <w:p w:rsidR="007308E3" w:rsidRPr="00D17E36" w:rsidRDefault="007308E3" w:rsidP="008829CA">
            <w:pPr>
              <w:ind w:left="91"/>
              <w:rPr>
                <w:szCs w:val="24"/>
              </w:rPr>
            </w:pPr>
          </w:p>
        </w:tc>
        <w:tc>
          <w:tcPr>
            <w:tcW w:w="4306" w:type="dxa"/>
            <w:tcBorders>
              <w:bottom w:val="nil"/>
            </w:tcBorders>
          </w:tcPr>
          <w:p w:rsidR="007308E3" w:rsidRPr="008B2447" w:rsidRDefault="007308E3" w:rsidP="008B2447">
            <w:pPr>
              <w:numPr>
                <w:ilvl w:val="0"/>
                <w:numId w:val="18"/>
              </w:numPr>
              <w:rPr>
                <w:szCs w:val="24"/>
              </w:rPr>
            </w:pPr>
            <w:r w:rsidRPr="008B2447">
              <w:rPr>
                <w:rFonts w:hint="eastAsia"/>
                <w:szCs w:val="24"/>
              </w:rPr>
              <w:t>十二年國教課程綱要總綱的理解</w:t>
            </w:r>
          </w:p>
          <w:p w:rsidR="007308E3" w:rsidRPr="008B2447" w:rsidRDefault="007308E3" w:rsidP="008B2447">
            <w:pPr>
              <w:numPr>
                <w:ilvl w:val="0"/>
                <w:numId w:val="18"/>
              </w:numPr>
              <w:rPr>
                <w:szCs w:val="24"/>
                <w:u w:val="single"/>
              </w:rPr>
            </w:pPr>
            <w:r w:rsidRPr="008B2447">
              <w:rPr>
                <w:rFonts w:hint="eastAsia"/>
                <w:szCs w:val="24"/>
              </w:rPr>
              <w:t>十二年國教課程</w:t>
            </w:r>
            <w:proofErr w:type="gramStart"/>
            <w:r w:rsidRPr="008B2447">
              <w:rPr>
                <w:rFonts w:hint="eastAsia"/>
                <w:szCs w:val="24"/>
              </w:rPr>
              <w:t>綱要領綱的</w:t>
            </w:r>
            <w:proofErr w:type="gramEnd"/>
            <w:r w:rsidRPr="008B2447">
              <w:rPr>
                <w:rFonts w:hint="eastAsia"/>
                <w:szCs w:val="24"/>
              </w:rPr>
              <w:t>理解</w:t>
            </w:r>
          </w:p>
        </w:tc>
        <w:tc>
          <w:tcPr>
            <w:tcW w:w="4307" w:type="dxa"/>
            <w:vMerge w:val="restart"/>
          </w:tcPr>
          <w:p w:rsidR="007308E3" w:rsidRDefault="007308E3" w:rsidP="008B2447">
            <w:pPr>
              <w:pStyle w:val="a3"/>
              <w:numPr>
                <w:ilvl w:val="0"/>
                <w:numId w:val="21"/>
              </w:numPr>
              <w:ind w:leftChars="0"/>
              <w:rPr>
                <w:szCs w:val="24"/>
              </w:rPr>
            </w:pPr>
            <w:r w:rsidRPr="009C27FD">
              <w:rPr>
                <w:rFonts w:hint="eastAsia"/>
                <w:szCs w:val="24"/>
              </w:rPr>
              <w:t>多元取向的教學模式與評量</w:t>
            </w:r>
          </w:p>
          <w:p w:rsidR="007308E3" w:rsidRDefault="007308E3" w:rsidP="008B2447">
            <w:pPr>
              <w:pStyle w:val="a3"/>
              <w:numPr>
                <w:ilvl w:val="0"/>
                <w:numId w:val="21"/>
              </w:numPr>
              <w:ind w:leftChars="0"/>
              <w:rPr>
                <w:szCs w:val="24"/>
              </w:rPr>
            </w:pPr>
            <w:r w:rsidRPr="008B2447">
              <w:rPr>
                <w:rFonts w:hint="eastAsia"/>
                <w:szCs w:val="24"/>
              </w:rPr>
              <w:t>教師公開授課與教學精進</w:t>
            </w:r>
          </w:p>
          <w:p w:rsidR="007308E3" w:rsidRPr="008B2447" w:rsidRDefault="007308E3" w:rsidP="008B2447">
            <w:pPr>
              <w:pStyle w:val="a3"/>
              <w:numPr>
                <w:ilvl w:val="0"/>
                <w:numId w:val="21"/>
              </w:numPr>
              <w:ind w:leftChars="0"/>
              <w:rPr>
                <w:szCs w:val="24"/>
              </w:rPr>
            </w:pPr>
            <w:r w:rsidRPr="008B2447">
              <w:rPr>
                <w:rFonts w:hint="eastAsia"/>
                <w:szCs w:val="24"/>
              </w:rPr>
              <w:t>自主學習的引導策略</w:t>
            </w:r>
          </w:p>
          <w:p w:rsidR="007308E3" w:rsidRPr="007308E3" w:rsidRDefault="007308E3" w:rsidP="007308E3">
            <w:pPr>
              <w:rPr>
                <w:szCs w:val="24"/>
              </w:rPr>
            </w:pPr>
          </w:p>
        </w:tc>
        <w:tc>
          <w:tcPr>
            <w:tcW w:w="4310" w:type="dxa"/>
            <w:vMerge w:val="restart"/>
          </w:tcPr>
          <w:p w:rsidR="007308E3" w:rsidRPr="007308E3" w:rsidRDefault="007308E3" w:rsidP="007308E3">
            <w:pPr>
              <w:pStyle w:val="a3"/>
              <w:numPr>
                <w:ilvl w:val="0"/>
                <w:numId w:val="21"/>
              </w:numPr>
              <w:ind w:leftChars="0"/>
              <w:rPr>
                <w:szCs w:val="24"/>
              </w:rPr>
            </w:pPr>
            <w:r w:rsidRPr="007308E3">
              <w:rPr>
                <w:rFonts w:hint="eastAsia"/>
                <w:szCs w:val="24"/>
              </w:rPr>
              <w:t>核心素養導向的教學與評量</w:t>
            </w:r>
          </w:p>
          <w:p w:rsidR="007308E3" w:rsidRPr="007308E3" w:rsidRDefault="007308E3" w:rsidP="007308E3">
            <w:pPr>
              <w:pStyle w:val="a3"/>
              <w:numPr>
                <w:ilvl w:val="0"/>
                <w:numId w:val="21"/>
              </w:numPr>
              <w:ind w:leftChars="0"/>
              <w:rPr>
                <w:szCs w:val="24"/>
              </w:rPr>
            </w:pPr>
            <w:r w:rsidRPr="007308E3">
              <w:rPr>
                <w:rFonts w:hint="eastAsia"/>
                <w:szCs w:val="24"/>
              </w:rPr>
              <w:t>學校本位課程規劃與實施</w:t>
            </w:r>
          </w:p>
          <w:p w:rsidR="007308E3" w:rsidRPr="007308E3" w:rsidRDefault="007308E3" w:rsidP="007308E3">
            <w:pPr>
              <w:pStyle w:val="a3"/>
              <w:numPr>
                <w:ilvl w:val="0"/>
                <w:numId w:val="21"/>
              </w:numPr>
              <w:ind w:leftChars="0"/>
              <w:rPr>
                <w:szCs w:val="24"/>
              </w:rPr>
            </w:pPr>
            <w:r w:rsidRPr="007308E3">
              <w:rPr>
                <w:rFonts w:hint="eastAsia"/>
                <w:szCs w:val="24"/>
              </w:rPr>
              <w:t>跨領域課程設計與協同教學</w:t>
            </w:r>
          </w:p>
          <w:p w:rsidR="007308E3" w:rsidRPr="007308E3" w:rsidRDefault="007308E3" w:rsidP="007308E3">
            <w:pPr>
              <w:pStyle w:val="a3"/>
              <w:numPr>
                <w:ilvl w:val="0"/>
                <w:numId w:val="21"/>
              </w:numPr>
              <w:ind w:leftChars="0"/>
              <w:rPr>
                <w:szCs w:val="24"/>
              </w:rPr>
            </w:pPr>
            <w:r w:rsidRPr="007308E3">
              <w:rPr>
                <w:rFonts w:hint="eastAsia"/>
                <w:szCs w:val="24"/>
              </w:rPr>
              <w:t>實地情境學習的規劃與實施</w:t>
            </w:r>
          </w:p>
          <w:p w:rsidR="007308E3" w:rsidRPr="007308E3" w:rsidRDefault="007308E3" w:rsidP="007308E3">
            <w:pPr>
              <w:pStyle w:val="a3"/>
              <w:numPr>
                <w:ilvl w:val="0"/>
                <w:numId w:val="21"/>
              </w:numPr>
              <w:ind w:leftChars="0"/>
              <w:rPr>
                <w:szCs w:val="24"/>
              </w:rPr>
            </w:pPr>
            <w:r w:rsidRPr="007308E3">
              <w:rPr>
                <w:rFonts w:hint="eastAsia"/>
                <w:szCs w:val="24"/>
              </w:rPr>
              <w:t>有效教學的設計與實施</w:t>
            </w:r>
          </w:p>
        </w:tc>
      </w:tr>
      <w:tr w:rsidR="007308E3" w:rsidTr="00CC5537">
        <w:trPr>
          <w:trHeight w:val="70"/>
          <w:jc w:val="center"/>
        </w:trPr>
        <w:tc>
          <w:tcPr>
            <w:tcW w:w="685" w:type="dxa"/>
            <w:vMerge/>
          </w:tcPr>
          <w:p w:rsidR="007308E3" w:rsidRPr="00D17E36" w:rsidRDefault="007308E3" w:rsidP="008829CA">
            <w:pPr>
              <w:ind w:left="91"/>
              <w:rPr>
                <w:szCs w:val="24"/>
              </w:rPr>
            </w:pPr>
          </w:p>
        </w:tc>
        <w:tc>
          <w:tcPr>
            <w:tcW w:w="4306" w:type="dxa"/>
            <w:tcBorders>
              <w:top w:val="nil"/>
            </w:tcBorders>
          </w:tcPr>
          <w:p w:rsidR="007308E3" w:rsidRPr="002B2A00" w:rsidRDefault="007308E3" w:rsidP="002B2A00">
            <w:pPr>
              <w:rPr>
                <w:szCs w:val="24"/>
              </w:rPr>
            </w:pPr>
          </w:p>
        </w:tc>
        <w:tc>
          <w:tcPr>
            <w:tcW w:w="4307" w:type="dxa"/>
            <w:vMerge/>
          </w:tcPr>
          <w:p w:rsidR="007308E3" w:rsidRPr="007308E3" w:rsidRDefault="007308E3" w:rsidP="002B2A00">
            <w:pPr>
              <w:rPr>
                <w:szCs w:val="24"/>
              </w:rPr>
            </w:pPr>
          </w:p>
        </w:tc>
        <w:tc>
          <w:tcPr>
            <w:tcW w:w="4310" w:type="dxa"/>
            <w:vMerge/>
          </w:tcPr>
          <w:p w:rsidR="007308E3" w:rsidRPr="007308E3" w:rsidRDefault="007308E3" w:rsidP="002B2A00">
            <w:pPr>
              <w:rPr>
                <w:szCs w:val="24"/>
              </w:rPr>
            </w:pPr>
          </w:p>
        </w:tc>
      </w:tr>
      <w:tr w:rsidR="002C0AA8" w:rsidTr="007308E3">
        <w:trPr>
          <w:trHeight w:val="560"/>
          <w:jc w:val="center"/>
        </w:trPr>
        <w:tc>
          <w:tcPr>
            <w:tcW w:w="685" w:type="dxa"/>
          </w:tcPr>
          <w:p w:rsidR="008B2447" w:rsidRPr="00D17E36" w:rsidRDefault="00762C6C" w:rsidP="008829CA">
            <w:pPr>
              <w:rPr>
                <w:szCs w:val="24"/>
              </w:rPr>
            </w:pPr>
            <w:r w:rsidRPr="00D17E36">
              <w:rPr>
                <w:rFonts w:hint="eastAsia"/>
                <w:szCs w:val="24"/>
              </w:rPr>
              <w:t>輔</w:t>
            </w:r>
          </w:p>
          <w:p w:rsidR="008B2447" w:rsidRPr="00D17E36" w:rsidRDefault="00762C6C" w:rsidP="008829CA">
            <w:pPr>
              <w:rPr>
                <w:szCs w:val="24"/>
              </w:rPr>
            </w:pPr>
            <w:r w:rsidRPr="00D17E36">
              <w:rPr>
                <w:rFonts w:hint="eastAsia"/>
                <w:szCs w:val="24"/>
              </w:rPr>
              <w:t>導</w:t>
            </w:r>
          </w:p>
          <w:p w:rsidR="008B2447" w:rsidRPr="00D17E36" w:rsidRDefault="00762C6C" w:rsidP="008829CA">
            <w:pPr>
              <w:rPr>
                <w:szCs w:val="24"/>
              </w:rPr>
            </w:pPr>
            <w:r w:rsidRPr="00D17E36">
              <w:rPr>
                <w:rFonts w:hint="eastAsia"/>
                <w:szCs w:val="24"/>
              </w:rPr>
              <w:t>團</w:t>
            </w:r>
          </w:p>
          <w:p w:rsidR="008B2447" w:rsidRPr="00D17E36" w:rsidRDefault="00762C6C" w:rsidP="008829CA">
            <w:pPr>
              <w:rPr>
                <w:szCs w:val="24"/>
              </w:rPr>
            </w:pPr>
            <w:r w:rsidRPr="00D17E36">
              <w:rPr>
                <w:rFonts w:hint="eastAsia"/>
                <w:szCs w:val="24"/>
              </w:rPr>
              <w:t>教</w:t>
            </w:r>
          </w:p>
          <w:p w:rsidR="008B2447" w:rsidRPr="00D17E36" w:rsidRDefault="00762C6C" w:rsidP="008829CA">
            <w:pPr>
              <w:rPr>
                <w:szCs w:val="24"/>
              </w:rPr>
            </w:pPr>
            <w:r w:rsidRPr="00D17E36">
              <w:rPr>
                <w:rFonts w:hint="eastAsia"/>
                <w:szCs w:val="24"/>
              </w:rPr>
              <w:t>師</w:t>
            </w:r>
          </w:p>
          <w:p w:rsidR="002C0AA8" w:rsidRPr="00D17E36" w:rsidRDefault="002C0AA8" w:rsidP="00C65348">
            <w:pPr>
              <w:spacing w:line="360" w:lineRule="auto"/>
              <w:rPr>
                <w:szCs w:val="24"/>
                <w:u w:val="single"/>
              </w:rPr>
            </w:pPr>
          </w:p>
        </w:tc>
        <w:tc>
          <w:tcPr>
            <w:tcW w:w="4306" w:type="dxa"/>
          </w:tcPr>
          <w:p w:rsidR="002C0AA8" w:rsidRPr="009C27FD" w:rsidRDefault="007F1322" w:rsidP="002B2A00">
            <w:pPr>
              <w:pStyle w:val="a3"/>
              <w:numPr>
                <w:ilvl w:val="0"/>
                <w:numId w:val="22"/>
              </w:numPr>
              <w:ind w:leftChars="0"/>
              <w:rPr>
                <w:szCs w:val="24"/>
              </w:rPr>
            </w:pPr>
            <w:r w:rsidRPr="009C27FD">
              <w:rPr>
                <w:rFonts w:hint="eastAsia"/>
                <w:szCs w:val="24"/>
              </w:rPr>
              <w:t>十二年國教課程綱要總綱實踐的問題與回應</w:t>
            </w:r>
          </w:p>
          <w:p w:rsidR="007A04C2" w:rsidRPr="009C27FD" w:rsidRDefault="007A04C2" w:rsidP="002B2A00">
            <w:pPr>
              <w:pStyle w:val="a3"/>
              <w:numPr>
                <w:ilvl w:val="0"/>
                <w:numId w:val="22"/>
              </w:numPr>
              <w:ind w:leftChars="0"/>
              <w:rPr>
                <w:szCs w:val="24"/>
              </w:rPr>
            </w:pPr>
            <w:r w:rsidRPr="009C27FD">
              <w:rPr>
                <w:rFonts w:hint="eastAsia"/>
                <w:szCs w:val="24"/>
              </w:rPr>
              <w:t>十二年國教課程</w:t>
            </w:r>
            <w:proofErr w:type="gramStart"/>
            <w:r w:rsidRPr="009C27FD">
              <w:rPr>
                <w:rFonts w:hint="eastAsia"/>
                <w:szCs w:val="24"/>
              </w:rPr>
              <w:t>綱要領綱實踐</w:t>
            </w:r>
            <w:proofErr w:type="gramEnd"/>
            <w:r w:rsidRPr="009C27FD">
              <w:rPr>
                <w:rFonts w:hint="eastAsia"/>
                <w:szCs w:val="24"/>
              </w:rPr>
              <w:t>的問題與回應</w:t>
            </w:r>
          </w:p>
          <w:p w:rsidR="008829CA" w:rsidRPr="00C65348" w:rsidRDefault="008829CA" w:rsidP="002B2A00">
            <w:pPr>
              <w:pStyle w:val="a3"/>
              <w:numPr>
                <w:ilvl w:val="0"/>
                <w:numId w:val="22"/>
              </w:numPr>
              <w:ind w:leftChars="0"/>
              <w:rPr>
                <w:szCs w:val="24"/>
                <w:u w:val="single"/>
              </w:rPr>
            </w:pPr>
            <w:r w:rsidRPr="00C65348">
              <w:rPr>
                <w:rFonts w:hint="eastAsia"/>
                <w:szCs w:val="24"/>
                <w:u w:val="single"/>
              </w:rPr>
              <w:t>協作學校</w:t>
            </w:r>
            <w:r w:rsidR="00C65348">
              <w:rPr>
                <w:rFonts w:hint="eastAsia"/>
                <w:szCs w:val="24"/>
                <w:u w:val="single"/>
              </w:rPr>
              <w:t>推動</w:t>
            </w:r>
            <w:proofErr w:type="gramStart"/>
            <w:r w:rsidR="00C65348">
              <w:rPr>
                <w:rFonts w:hint="eastAsia"/>
                <w:szCs w:val="24"/>
                <w:u w:val="single"/>
              </w:rPr>
              <w:t>新課綱</w:t>
            </w:r>
            <w:proofErr w:type="gramEnd"/>
            <w:r w:rsidR="00C65348">
              <w:rPr>
                <w:rFonts w:hint="eastAsia"/>
                <w:szCs w:val="24"/>
                <w:u w:val="single"/>
              </w:rPr>
              <w:t>的</w:t>
            </w:r>
            <w:r w:rsidRPr="00C65348">
              <w:rPr>
                <w:rFonts w:hint="eastAsia"/>
                <w:szCs w:val="24"/>
                <w:u w:val="single"/>
              </w:rPr>
              <w:t>規劃與作法</w:t>
            </w:r>
          </w:p>
        </w:tc>
        <w:tc>
          <w:tcPr>
            <w:tcW w:w="4307" w:type="dxa"/>
          </w:tcPr>
          <w:p w:rsidR="001A5F51" w:rsidRPr="009C27FD" w:rsidRDefault="001A5F51" w:rsidP="002B2A00">
            <w:pPr>
              <w:pStyle w:val="a3"/>
              <w:numPr>
                <w:ilvl w:val="0"/>
                <w:numId w:val="22"/>
              </w:numPr>
              <w:ind w:leftChars="0"/>
              <w:rPr>
                <w:szCs w:val="24"/>
              </w:rPr>
            </w:pPr>
            <w:r w:rsidRPr="009C27FD">
              <w:rPr>
                <w:rFonts w:hint="eastAsia"/>
                <w:szCs w:val="24"/>
              </w:rPr>
              <w:t>多元取向的教學模式與評量</w:t>
            </w:r>
          </w:p>
          <w:p w:rsidR="001A5F51" w:rsidRDefault="001A5F51" w:rsidP="002B2A00">
            <w:pPr>
              <w:pStyle w:val="a3"/>
              <w:numPr>
                <w:ilvl w:val="0"/>
                <w:numId w:val="22"/>
              </w:numPr>
              <w:ind w:leftChars="0"/>
              <w:rPr>
                <w:szCs w:val="24"/>
              </w:rPr>
            </w:pPr>
            <w:r w:rsidRPr="009C27FD">
              <w:rPr>
                <w:rFonts w:hint="eastAsia"/>
                <w:szCs w:val="24"/>
              </w:rPr>
              <w:t>自主學習的引導策略</w:t>
            </w:r>
          </w:p>
          <w:p w:rsidR="004662AB" w:rsidRPr="009C27FD" w:rsidRDefault="004662AB" w:rsidP="002B2A00">
            <w:pPr>
              <w:pStyle w:val="a3"/>
              <w:numPr>
                <w:ilvl w:val="0"/>
                <w:numId w:val="22"/>
              </w:numPr>
              <w:ind w:leftChars="0"/>
              <w:rPr>
                <w:szCs w:val="24"/>
              </w:rPr>
            </w:pPr>
            <w:r>
              <w:rPr>
                <w:rFonts w:hint="eastAsia"/>
                <w:szCs w:val="24"/>
              </w:rPr>
              <w:t>彈性學習課程的規劃與實務</w:t>
            </w:r>
          </w:p>
          <w:p w:rsidR="007A04C2" w:rsidRPr="002B2A00" w:rsidRDefault="007A04C2" w:rsidP="002B2A00">
            <w:pPr>
              <w:pStyle w:val="a3"/>
              <w:numPr>
                <w:ilvl w:val="0"/>
                <w:numId w:val="22"/>
              </w:numPr>
              <w:ind w:leftChars="0"/>
              <w:rPr>
                <w:szCs w:val="24"/>
              </w:rPr>
            </w:pPr>
            <w:proofErr w:type="gramStart"/>
            <w:r w:rsidRPr="002B2A00">
              <w:rPr>
                <w:rFonts w:hint="eastAsia"/>
                <w:szCs w:val="24"/>
              </w:rPr>
              <w:t>帶領議課的</w:t>
            </w:r>
            <w:proofErr w:type="gramEnd"/>
            <w:r w:rsidRPr="002B2A00">
              <w:rPr>
                <w:rFonts w:hint="eastAsia"/>
                <w:szCs w:val="24"/>
              </w:rPr>
              <w:t>實踐策略</w:t>
            </w:r>
          </w:p>
          <w:p w:rsidR="002C0AA8" w:rsidRPr="009C27FD" w:rsidRDefault="007A04C2" w:rsidP="002B2A00">
            <w:pPr>
              <w:pStyle w:val="a3"/>
              <w:numPr>
                <w:ilvl w:val="0"/>
                <w:numId w:val="22"/>
              </w:numPr>
              <w:ind w:leftChars="0"/>
              <w:rPr>
                <w:szCs w:val="24"/>
              </w:rPr>
            </w:pPr>
            <w:r w:rsidRPr="002B2A00">
              <w:rPr>
                <w:rFonts w:hint="eastAsia"/>
                <w:szCs w:val="24"/>
              </w:rPr>
              <w:t>帶領討論對話的技巧</w:t>
            </w:r>
          </w:p>
        </w:tc>
        <w:tc>
          <w:tcPr>
            <w:tcW w:w="4310" w:type="dxa"/>
          </w:tcPr>
          <w:p w:rsidR="007F1322" w:rsidRPr="009C27FD" w:rsidRDefault="007F1322" w:rsidP="002B2A00">
            <w:pPr>
              <w:pStyle w:val="a3"/>
              <w:numPr>
                <w:ilvl w:val="0"/>
                <w:numId w:val="22"/>
              </w:numPr>
              <w:ind w:leftChars="0"/>
              <w:rPr>
                <w:szCs w:val="24"/>
              </w:rPr>
            </w:pPr>
            <w:r w:rsidRPr="009C27FD">
              <w:rPr>
                <w:rFonts w:hint="eastAsia"/>
                <w:szCs w:val="24"/>
              </w:rPr>
              <w:t>核心素養導向的教學與評量</w:t>
            </w:r>
          </w:p>
          <w:p w:rsidR="007F1322" w:rsidRPr="009C27FD" w:rsidRDefault="007F1322" w:rsidP="002B2A00">
            <w:pPr>
              <w:pStyle w:val="a3"/>
              <w:numPr>
                <w:ilvl w:val="0"/>
                <w:numId w:val="22"/>
              </w:numPr>
              <w:ind w:leftChars="0"/>
              <w:rPr>
                <w:szCs w:val="24"/>
              </w:rPr>
            </w:pPr>
            <w:r w:rsidRPr="009C27FD">
              <w:rPr>
                <w:rFonts w:hint="eastAsia"/>
                <w:szCs w:val="24"/>
              </w:rPr>
              <w:t>學校本位課程規劃與實施</w:t>
            </w:r>
          </w:p>
          <w:p w:rsidR="007F1322" w:rsidRPr="009C27FD" w:rsidRDefault="007F1322" w:rsidP="002B2A00">
            <w:pPr>
              <w:pStyle w:val="a3"/>
              <w:numPr>
                <w:ilvl w:val="0"/>
                <w:numId w:val="22"/>
              </w:numPr>
              <w:ind w:leftChars="0"/>
              <w:rPr>
                <w:szCs w:val="24"/>
              </w:rPr>
            </w:pPr>
            <w:r w:rsidRPr="009C27FD">
              <w:rPr>
                <w:rFonts w:hint="eastAsia"/>
                <w:szCs w:val="24"/>
              </w:rPr>
              <w:t>跨領域課程設計與協同教學</w:t>
            </w:r>
          </w:p>
          <w:p w:rsidR="007F1322" w:rsidRPr="009C27FD" w:rsidRDefault="007F1322" w:rsidP="002B2A00">
            <w:pPr>
              <w:pStyle w:val="a3"/>
              <w:numPr>
                <w:ilvl w:val="0"/>
                <w:numId w:val="22"/>
              </w:numPr>
              <w:ind w:leftChars="0"/>
              <w:rPr>
                <w:szCs w:val="24"/>
              </w:rPr>
            </w:pPr>
            <w:r w:rsidRPr="009C27FD">
              <w:rPr>
                <w:rFonts w:hint="eastAsia"/>
                <w:szCs w:val="24"/>
              </w:rPr>
              <w:t>實地情境學習的規劃與實施</w:t>
            </w:r>
          </w:p>
          <w:p w:rsidR="007F1322" w:rsidRPr="009C27FD" w:rsidRDefault="007F1322" w:rsidP="002B2A00">
            <w:pPr>
              <w:pStyle w:val="a3"/>
              <w:numPr>
                <w:ilvl w:val="0"/>
                <w:numId w:val="22"/>
              </w:numPr>
              <w:ind w:leftChars="0"/>
              <w:rPr>
                <w:szCs w:val="24"/>
              </w:rPr>
            </w:pPr>
            <w:r w:rsidRPr="009C27FD">
              <w:rPr>
                <w:rFonts w:hint="eastAsia"/>
                <w:szCs w:val="24"/>
              </w:rPr>
              <w:t>有效教學的設計與實施</w:t>
            </w:r>
          </w:p>
          <w:p w:rsidR="002C0AA8" w:rsidRPr="00C65348" w:rsidRDefault="00BE68B0" w:rsidP="002B2A00">
            <w:pPr>
              <w:pStyle w:val="a3"/>
              <w:numPr>
                <w:ilvl w:val="0"/>
                <w:numId w:val="23"/>
              </w:numPr>
              <w:ind w:leftChars="0"/>
              <w:rPr>
                <w:szCs w:val="24"/>
                <w:u w:val="single"/>
              </w:rPr>
            </w:pPr>
            <w:r w:rsidRPr="00C65348">
              <w:rPr>
                <w:rFonts w:hint="eastAsia"/>
                <w:szCs w:val="24"/>
                <w:u w:val="single"/>
              </w:rPr>
              <w:t>引領課程、教學、評量方案之規劃與實踐策略</w:t>
            </w:r>
          </w:p>
        </w:tc>
      </w:tr>
    </w:tbl>
    <w:p w:rsidR="00FE24C6" w:rsidRPr="00D17E36" w:rsidRDefault="00D17E36" w:rsidP="008829CA">
      <w:pPr>
        <w:spacing w:line="360" w:lineRule="auto"/>
        <w:rPr>
          <w:szCs w:val="24"/>
        </w:rPr>
      </w:pPr>
      <w:r w:rsidRPr="00D17E36">
        <w:rPr>
          <w:rFonts w:hint="eastAsia"/>
          <w:szCs w:val="24"/>
        </w:rPr>
        <w:t xml:space="preserve"> </w:t>
      </w:r>
      <w:r w:rsidRPr="00D17E36">
        <w:rPr>
          <w:rFonts w:hint="eastAsia"/>
          <w:szCs w:val="24"/>
        </w:rPr>
        <w:t>備註</w:t>
      </w:r>
      <w:r w:rsidRPr="00D17E36">
        <w:rPr>
          <w:rFonts w:asciiTheme="minorEastAsia" w:hAnsiTheme="minorEastAsia" w:hint="eastAsia"/>
          <w:szCs w:val="24"/>
        </w:rPr>
        <w:t>：畫下線的部分係屬「引領」、「帶領」、「引導」、「協作」增能活動的策略或技巧。</w:t>
      </w:r>
    </w:p>
    <w:sectPr w:rsidR="00FE24C6" w:rsidRPr="00D17E36" w:rsidSect="003E068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EE" w:rsidRDefault="00B848EE" w:rsidP="00B848EE">
      <w:r>
        <w:separator/>
      </w:r>
    </w:p>
  </w:endnote>
  <w:endnote w:type="continuationSeparator" w:id="0">
    <w:p w:rsidR="00B848EE" w:rsidRDefault="00B848EE" w:rsidP="00B8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EE" w:rsidRDefault="00B848EE" w:rsidP="00B848EE">
      <w:r>
        <w:separator/>
      </w:r>
    </w:p>
  </w:footnote>
  <w:footnote w:type="continuationSeparator" w:id="0">
    <w:p w:rsidR="00B848EE" w:rsidRDefault="00B848EE" w:rsidP="00B84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14"/>
    <w:multiLevelType w:val="hybridMultilevel"/>
    <w:tmpl w:val="52829CA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DC7387"/>
    <w:multiLevelType w:val="hybridMultilevel"/>
    <w:tmpl w:val="8D243EEE"/>
    <w:lvl w:ilvl="0" w:tplc="1C740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314CC"/>
    <w:multiLevelType w:val="hybridMultilevel"/>
    <w:tmpl w:val="CC3ED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652BE8"/>
    <w:multiLevelType w:val="hybridMultilevel"/>
    <w:tmpl w:val="1D0221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DA29C1"/>
    <w:multiLevelType w:val="hybridMultilevel"/>
    <w:tmpl w:val="FDF8AB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7B45BE6"/>
    <w:multiLevelType w:val="hybridMultilevel"/>
    <w:tmpl w:val="DB6C5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9E6B94"/>
    <w:multiLevelType w:val="hybridMultilevel"/>
    <w:tmpl w:val="87007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CD7658B"/>
    <w:multiLevelType w:val="hybridMultilevel"/>
    <w:tmpl w:val="2C88AC88"/>
    <w:lvl w:ilvl="0" w:tplc="7A34B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A476F5"/>
    <w:multiLevelType w:val="hybridMultilevel"/>
    <w:tmpl w:val="2804A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C5087C"/>
    <w:multiLevelType w:val="hybridMultilevel"/>
    <w:tmpl w:val="832478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63DF1"/>
    <w:multiLevelType w:val="hybridMultilevel"/>
    <w:tmpl w:val="0220F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F7530AC"/>
    <w:multiLevelType w:val="hybridMultilevel"/>
    <w:tmpl w:val="DB6C5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A8140F"/>
    <w:multiLevelType w:val="hybridMultilevel"/>
    <w:tmpl w:val="58DA18D4"/>
    <w:lvl w:ilvl="0" w:tplc="000AFFA4">
      <w:start w:val="1"/>
      <w:numFmt w:val="decimal"/>
      <w:lvlText w:val="%1."/>
      <w:lvlJc w:val="left"/>
      <w:pPr>
        <w:ind w:left="480" w:hanging="480"/>
      </w:pPr>
      <w:rPr>
        <w:rFont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492655F"/>
    <w:multiLevelType w:val="hybridMultilevel"/>
    <w:tmpl w:val="ABEAD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4E3CD7"/>
    <w:multiLevelType w:val="hybridMultilevel"/>
    <w:tmpl w:val="6470AE08"/>
    <w:lvl w:ilvl="0" w:tplc="4BBE4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B55464"/>
    <w:multiLevelType w:val="hybridMultilevel"/>
    <w:tmpl w:val="CA22F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8D1E3B"/>
    <w:multiLevelType w:val="hybridMultilevel"/>
    <w:tmpl w:val="CC74F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E4F4830"/>
    <w:multiLevelType w:val="hybridMultilevel"/>
    <w:tmpl w:val="6470AE08"/>
    <w:lvl w:ilvl="0" w:tplc="4BBE4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C82B76"/>
    <w:multiLevelType w:val="hybridMultilevel"/>
    <w:tmpl w:val="A6DCD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F21871"/>
    <w:multiLevelType w:val="hybridMultilevel"/>
    <w:tmpl w:val="261431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7BD632A"/>
    <w:multiLevelType w:val="hybridMultilevel"/>
    <w:tmpl w:val="D2488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55382D"/>
    <w:multiLevelType w:val="hybridMultilevel"/>
    <w:tmpl w:val="39E43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83361B"/>
    <w:multiLevelType w:val="hybridMultilevel"/>
    <w:tmpl w:val="C72ED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AC659E4"/>
    <w:multiLevelType w:val="hybridMultilevel"/>
    <w:tmpl w:val="A6DCD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5"/>
  </w:num>
  <w:num w:numId="3">
    <w:abstractNumId w:val="22"/>
  </w:num>
  <w:num w:numId="4">
    <w:abstractNumId w:val="12"/>
  </w:num>
  <w:num w:numId="5">
    <w:abstractNumId w:val="9"/>
  </w:num>
  <w:num w:numId="6">
    <w:abstractNumId w:val="15"/>
  </w:num>
  <w:num w:numId="7">
    <w:abstractNumId w:val="0"/>
  </w:num>
  <w:num w:numId="8">
    <w:abstractNumId w:val="18"/>
  </w:num>
  <w:num w:numId="9">
    <w:abstractNumId w:val="13"/>
  </w:num>
  <w:num w:numId="10">
    <w:abstractNumId w:val="7"/>
  </w:num>
  <w:num w:numId="11">
    <w:abstractNumId w:val="1"/>
  </w:num>
  <w:num w:numId="12">
    <w:abstractNumId w:val="2"/>
  </w:num>
  <w:num w:numId="13">
    <w:abstractNumId w:val="21"/>
  </w:num>
  <w:num w:numId="14">
    <w:abstractNumId w:val="14"/>
  </w:num>
  <w:num w:numId="15">
    <w:abstractNumId w:val="6"/>
  </w:num>
  <w:num w:numId="16">
    <w:abstractNumId w:val="16"/>
  </w:num>
  <w:num w:numId="17">
    <w:abstractNumId w:val="17"/>
  </w:num>
  <w:num w:numId="18">
    <w:abstractNumId w:val="19"/>
  </w:num>
  <w:num w:numId="19">
    <w:abstractNumId w:val="20"/>
  </w:num>
  <w:num w:numId="20">
    <w:abstractNumId w:val="11"/>
  </w:num>
  <w:num w:numId="21">
    <w:abstractNumId w:val="8"/>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46"/>
    <w:rsid w:val="0001438C"/>
    <w:rsid w:val="000A7438"/>
    <w:rsid w:val="000D2A07"/>
    <w:rsid w:val="001442E2"/>
    <w:rsid w:val="00174769"/>
    <w:rsid w:val="00192AE0"/>
    <w:rsid w:val="001A5F51"/>
    <w:rsid w:val="001C59B7"/>
    <w:rsid w:val="001D6C4A"/>
    <w:rsid w:val="001E1152"/>
    <w:rsid w:val="001F152A"/>
    <w:rsid w:val="001F58E1"/>
    <w:rsid w:val="00246948"/>
    <w:rsid w:val="00274563"/>
    <w:rsid w:val="00275624"/>
    <w:rsid w:val="00280EB7"/>
    <w:rsid w:val="00291F14"/>
    <w:rsid w:val="002B2A00"/>
    <w:rsid w:val="002C0AA8"/>
    <w:rsid w:val="002E521D"/>
    <w:rsid w:val="00385139"/>
    <w:rsid w:val="0038648A"/>
    <w:rsid w:val="003C4B38"/>
    <w:rsid w:val="003D09EE"/>
    <w:rsid w:val="003D5E26"/>
    <w:rsid w:val="003E0686"/>
    <w:rsid w:val="003E2E5F"/>
    <w:rsid w:val="004160FF"/>
    <w:rsid w:val="00441BB0"/>
    <w:rsid w:val="0044755A"/>
    <w:rsid w:val="00456127"/>
    <w:rsid w:val="004662AB"/>
    <w:rsid w:val="004D4D6B"/>
    <w:rsid w:val="005362D3"/>
    <w:rsid w:val="0059074C"/>
    <w:rsid w:val="005A1AC3"/>
    <w:rsid w:val="005A6485"/>
    <w:rsid w:val="006255AD"/>
    <w:rsid w:val="00651B5B"/>
    <w:rsid w:val="006B1E78"/>
    <w:rsid w:val="007308E3"/>
    <w:rsid w:val="00762C6C"/>
    <w:rsid w:val="0079286F"/>
    <w:rsid w:val="007A04C2"/>
    <w:rsid w:val="007B5B60"/>
    <w:rsid w:val="007C08FD"/>
    <w:rsid w:val="007F1322"/>
    <w:rsid w:val="00803632"/>
    <w:rsid w:val="00836F74"/>
    <w:rsid w:val="00862604"/>
    <w:rsid w:val="008829CA"/>
    <w:rsid w:val="00894FB7"/>
    <w:rsid w:val="008B2447"/>
    <w:rsid w:val="008B7C49"/>
    <w:rsid w:val="009427EE"/>
    <w:rsid w:val="00996FE4"/>
    <w:rsid w:val="009C27FD"/>
    <w:rsid w:val="009D1CAF"/>
    <w:rsid w:val="00A176D0"/>
    <w:rsid w:val="00A4735D"/>
    <w:rsid w:val="00AC5B01"/>
    <w:rsid w:val="00AE4D8F"/>
    <w:rsid w:val="00B36271"/>
    <w:rsid w:val="00B406A4"/>
    <w:rsid w:val="00B535AE"/>
    <w:rsid w:val="00B84649"/>
    <w:rsid w:val="00B848EE"/>
    <w:rsid w:val="00BE68B0"/>
    <w:rsid w:val="00C1562F"/>
    <w:rsid w:val="00C51C5A"/>
    <w:rsid w:val="00C65348"/>
    <w:rsid w:val="00CA58B9"/>
    <w:rsid w:val="00CD06DF"/>
    <w:rsid w:val="00CD538B"/>
    <w:rsid w:val="00D17E36"/>
    <w:rsid w:val="00D219DE"/>
    <w:rsid w:val="00D83036"/>
    <w:rsid w:val="00D978FB"/>
    <w:rsid w:val="00DB3446"/>
    <w:rsid w:val="00DE48C3"/>
    <w:rsid w:val="00E02F6D"/>
    <w:rsid w:val="00E5320B"/>
    <w:rsid w:val="00E71042"/>
    <w:rsid w:val="00E80B01"/>
    <w:rsid w:val="00F510E3"/>
    <w:rsid w:val="00F60D74"/>
    <w:rsid w:val="00F830F2"/>
    <w:rsid w:val="00FB602E"/>
    <w:rsid w:val="00FE2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36"/>
    <w:pPr>
      <w:ind w:leftChars="200" w:left="480"/>
    </w:pPr>
  </w:style>
  <w:style w:type="paragraph" w:styleId="a4">
    <w:name w:val="Balloon Text"/>
    <w:basedOn w:val="a"/>
    <w:link w:val="a5"/>
    <w:uiPriority w:val="99"/>
    <w:semiHidden/>
    <w:unhideWhenUsed/>
    <w:rsid w:val="00836F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36F74"/>
    <w:rPr>
      <w:rFonts w:asciiTheme="majorHAnsi" w:eastAsiaTheme="majorEastAsia" w:hAnsiTheme="majorHAnsi" w:cstheme="majorBidi"/>
      <w:sz w:val="18"/>
      <w:szCs w:val="18"/>
    </w:rPr>
  </w:style>
  <w:style w:type="paragraph" w:styleId="a6">
    <w:name w:val="header"/>
    <w:basedOn w:val="a"/>
    <w:link w:val="a7"/>
    <w:uiPriority w:val="99"/>
    <w:unhideWhenUsed/>
    <w:rsid w:val="00B848EE"/>
    <w:pPr>
      <w:tabs>
        <w:tab w:val="center" w:pos="4153"/>
        <w:tab w:val="right" w:pos="8306"/>
      </w:tabs>
      <w:snapToGrid w:val="0"/>
    </w:pPr>
    <w:rPr>
      <w:sz w:val="20"/>
      <w:szCs w:val="20"/>
    </w:rPr>
  </w:style>
  <w:style w:type="character" w:customStyle="1" w:styleId="a7">
    <w:name w:val="頁首 字元"/>
    <w:basedOn w:val="a0"/>
    <w:link w:val="a6"/>
    <w:uiPriority w:val="99"/>
    <w:rsid w:val="00B848EE"/>
    <w:rPr>
      <w:sz w:val="20"/>
      <w:szCs w:val="20"/>
    </w:rPr>
  </w:style>
  <w:style w:type="paragraph" w:styleId="a8">
    <w:name w:val="footer"/>
    <w:basedOn w:val="a"/>
    <w:link w:val="a9"/>
    <w:uiPriority w:val="99"/>
    <w:unhideWhenUsed/>
    <w:rsid w:val="00B848EE"/>
    <w:pPr>
      <w:tabs>
        <w:tab w:val="center" w:pos="4153"/>
        <w:tab w:val="right" w:pos="8306"/>
      </w:tabs>
      <w:snapToGrid w:val="0"/>
    </w:pPr>
    <w:rPr>
      <w:sz w:val="20"/>
      <w:szCs w:val="20"/>
    </w:rPr>
  </w:style>
  <w:style w:type="character" w:customStyle="1" w:styleId="a9">
    <w:name w:val="頁尾 字元"/>
    <w:basedOn w:val="a0"/>
    <w:link w:val="a8"/>
    <w:uiPriority w:val="99"/>
    <w:rsid w:val="00B848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36"/>
    <w:pPr>
      <w:ind w:leftChars="200" w:left="480"/>
    </w:pPr>
  </w:style>
  <w:style w:type="paragraph" w:styleId="a4">
    <w:name w:val="Balloon Text"/>
    <w:basedOn w:val="a"/>
    <w:link w:val="a5"/>
    <w:uiPriority w:val="99"/>
    <w:semiHidden/>
    <w:unhideWhenUsed/>
    <w:rsid w:val="00836F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36F74"/>
    <w:rPr>
      <w:rFonts w:asciiTheme="majorHAnsi" w:eastAsiaTheme="majorEastAsia" w:hAnsiTheme="majorHAnsi" w:cstheme="majorBidi"/>
      <w:sz w:val="18"/>
      <w:szCs w:val="18"/>
    </w:rPr>
  </w:style>
  <w:style w:type="paragraph" w:styleId="a6">
    <w:name w:val="header"/>
    <w:basedOn w:val="a"/>
    <w:link w:val="a7"/>
    <w:uiPriority w:val="99"/>
    <w:unhideWhenUsed/>
    <w:rsid w:val="00B848EE"/>
    <w:pPr>
      <w:tabs>
        <w:tab w:val="center" w:pos="4153"/>
        <w:tab w:val="right" w:pos="8306"/>
      </w:tabs>
      <w:snapToGrid w:val="0"/>
    </w:pPr>
    <w:rPr>
      <w:sz w:val="20"/>
      <w:szCs w:val="20"/>
    </w:rPr>
  </w:style>
  <w:style w:type="character" w:customStyle="1" w:styleId="a7">
    <w:name w:val="頁首 字元"/>
    <w:basedOn w:val="a0"/>
    <w:link w:val="a6"/>
    <w:uiPriority w:val="99"/>
    <w:rsid w:val="00B848EE"/>
    <w:rPr>
      <w:sz w:val="20"/>
      <w:szCs w:val="20"/>
    </w:rPr>
  </w:style>
  <w:style w:type="paragraph" w:styleId="a8">
    <w:name w:val="footer"/>
    <w:basedOn w:val="a"/>
    <w:link w:val="a9"/>
    <w:uiPriority w:val="99"/>
    <w:unhideWhenUsed/>
    <w:rsid w:val="00B848EE"/>
    <w:pPr>
      <w:tabs>
        <w:tab w:val="center" w:pos="4153"/>
        <w:tab w:val="right" w:pos="8306"/>
      </w:tabs>
      <w:snapToGrid w:val="0"/>
    </w:pPr>
    <w:rPr>
      <w:sz w:val="20"/>
      <w:szCs w:val="20"/>
    </w:rPr>
  </w:style>
  <w:style w:type="character" w:customStyle="1" w:styleId="a9">
    <w:name w:val="頁尾 字元"/>
    <w:basedOn w:val="a0"/>
    <w:link w:val="a8"/>
    <w:uiPriority w:val="99"/>
    <w:rsid w:val="00B848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2016-10-04T01:37:00Z</cp:lastPrinted>
  <dcterms:created xsi:type="dcterms:W3CDTF">2016-10-11T23:45:00Z</dcterms:created>
  <dcterms:modified xsi:type="dcterms:W3CDTF">2016-10-20T02:20:00Z</dcterms:modified>
</cp:coreProperties>
</file>